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0F07" w14:textId="77777777" w:rsidR="00D34892" w:rsidRPr="00D34892" w:rsidRDefault="00D34892" w:rsidP="00D34892">
      <w:pPr>
        <w:pStyle w:val="Heading1"/>
        <w:spacing w:after="240"/>
        <w:jc w:val="center"/>
        <w:rPr>
          <w:rFonts w:ascii="Calibri" w:hAnsi="Calibri" w:cs="Calibri"/>
          <w:sz w:val="52"/>
          <w:szCs w:val="52"/>
        </w:rPr>
      </w:pPr>
      <w:r w:rsidRPr="00D34892">
        <w:rPr>
          <w:rFonts w:ascii="Calibri" w:hAnsi="Calibri" w:cs="Calibri"/>
          <w:sz w:val="52"/>
          <w:szCs w:val="52"/>
        </w:rPr>
        <w:t>Règlement d’Ordre Intérieur – ROI type</w:t>
      </w:r>
    </w:p>
    <w:p w14:paraId="5E47236F" w14:textId="5ADC9277" w:rsidR="00D34892" w:rsidRPr="00D34892" w:rsidRDefault="00D34892" w:rsidP="00D34892">
      <w:pPr>
        <w:rPr>
          <w:rFonts w:ascii="Calibri" w:hAnsi="Calibri" w:cs="Calibri"/>
        </w:rPr>
      </w:pPr>
      <w:r w:rsidRPr="00D34892">
        <w:rPr>
          <w:rFonts w:ascii="Calibri" w:hAnsi="Calibri" w:cs="Calibri"/>
        </w:rPr>
        <w:t>Le présent règlement d’ordre intérieur de la commission consultative de (à compléter par le bailleur social) se base sur la loi modifiée du 7 août 2023 relative au logement abordable (ci</w:t>
      </w:r>
      <w:r>
        <w:rPr>
          <w:rFonts w:ascii="Calibri" w:hAnsi="Calibri" w:cs="Calibri"/>
        </w:rPr>
        <w:noBreakHyphen/>
      </w:r>
      <w:r w:rsidRPr="00D34892">
        <w:rPr>
          <w:rFonts w:ascii="Calibri" w:hAnsi="Calibri" w:cs="Calibri"/>
        </w:rPr>
        <w:t>après la « Loi »), ainsi que sur le règlement grand-ducal du 13 octobre 2023 relatif à la location de logements destinés à la location abordable prévue par la loi relative au logement abordable.</w:t>
      </w:r>
    </w:p>
    <w:p w14:paraId="6A273363" w14:textId="390D612A" w:rsidR="00D34892" w:rsidRPr="00082A49" w:rsidRDefault="00D34892" w:rsidP="00082A49">
      <w:pPr>
        <w:pStyle w:val="Heading2"/>
      </w:pPr>
      <w:r w:rsidRPr="00082A49">
        <w:t>Composition de la commission consultative</w:t>
      </w:r>
    </w:p>
    <w:p w14:paraId="7CEB4F01" w14:textId="77777777" w:rsidR="00D34892" w:rsidRPr="00D34892" w:rsidRDefault="00D34892" w:rsidP="001471AD">
      <w:pPr>
        <w:ind w:left="567"/>
        <w:rPr>
          <w:rFonts w:ascii="Calibri" w:hAnsi="Calibri" w:cs="Calibri"/>
        </w:rPr>
      </w:pPr>
      <w:r w:rsidRPr="00D34892">
        <w:rPr>
          <w:rFonts w:ascii="Calibri" w:hAnsi="Calibri" w:cs="Calibri"/>
        </w:rPr>
        <w:t>La commission consultative du service (à compléter par le bailleur), rattachée au bailleur social agréé sous le numéro (à compléter par le bailleur), est composée d’au moins trois membres effectifs.</w:t>
      </w:r>
    </w:p>
    <w:p w14:paraId="6A42C4BC" w14:textId="77777777" w:rsidR="00D34892" w:rsidRPr="00D34892" w:rsidRDefault="00D34892" w:rsidP="001471AD">
      <w:pPr>
        <w:ind w:left="567"/>
        <w:rPr>
          <w:rFonts w:ascii="Calibri" w:hAnsi="Calibri" w:cs="Calibri"/>
        </w:rPr>
      </w:pPr>
      <w:r w:rsidRPr="00D34892">
        <w:rPr>
          <w:rFonts w:ascii="Calibri" w:hAnsi="Calibri" w:cs="Calibri"/>
        </w:rPr>
        <w:t>Pour chaque membre effectif, un membre suppléant peut être nommé.</w:t>
      </w:r>
    </w:p>
    <w:p w14:paraId="1E824561" w14:textId="77777777" w:rsidR="00D34892" w:rsidRPr="00D34892" w:rsidRDefault="00D34892" w:rsidP="001471AD">
      <w:pPr>
        <w:ind w:left="567"/>
        <w:rPr>
          <w:rFonts w:ascii="Calibri" w:hAnsi="Calibri" w:cs="Calibri"/>
        </w:rPr>
      </w:pPr>
      <w:r w:rsidRPr="00D34892">
        <w:rPr>
          <w:rFonts w:ascii="Calibri" w:hAnsi="Calibri" w:cs="Calibri"/>
        </w:rPr>
        <w:t>Un président est désigné parmi les membres effectifs.</w:t>
      </w:r>
    </w:p>
    <w:p w14:paraId="06AC4EFE" w14:textId="77777777" w:rsidR="00D34892" w:rsidRPr="00D34892" w:rsidRDefault="00D34892" w:rsidP="001471AD">
      <w:pPr>
        <w:ind w:left="567"/>
        <w:rPr>
          <w:rFonts w:ascii="Calibri" w:hAnsi="Calibri" w:cs="Calibri"/>
        </w:rPr>
      </w:pPr>
      <w:r w:rsidRPr="00D34892">
        <w:rPr>
          <w:rFonts w:ascii="Calibri" w:hAnsi="Calibri" w:cs="Calibri"/>
        </w:rPr>
        <w:t>Un secrétaire administratif, qui peut être externe à la commission, est nommé. Il assiste aux réunions, rédige les procès-verbaux, mais ne participe ni aux discussions ni aux votes.</w:t>
      </w:r>
    </w:p>
    <w:p w14:paraId="1B5F14F5" w14:textId="03F67458" w:rsidR="00D34892" w:rsidRPr="00D34892" w:rsidRDefault="00D34892" w:rsidP="00082A49">
      <w:pPr>
        <w:pStyle w:val="Heading2"/>
      </w:pPr>
      <w:r w:rsidRPr="00D34892">
        <w:t>Nomination et durée du mandat</w:t>
      </w:r>
    </w:p>
    <w:p w14:paraId="29B3B4B3" w14:textId="77777777" w:rsidR="00D34892" w:rsidRPr="00D34892" w:rsidRDefault="00D34892" w:rsidP="001471AD">
      <w:pPr>
        <w:ind w:left="567"/>
        <w:rPr>
          <w:rFonts w:ascii="Calibri" w:hAnsi="Calibri" w:cs="Calibri"/>
        </w:rPr>
      </w:pPr>
      <w:r w:rsidRPr="00D34892">
        <w:rPr>
          <w:rFonts w:ascii="Calibri" w:hAnsi="Calibri" w:cs="Calibri"/>
        </w:rPr>
        <w:t>La durée du mandat est de (à compléter par le bailleur, maximum 5 ans). La nomination est renouvelable.</w:t>
      </w:r>
    </w:p>
    <w:p w14:paraId="6E280B9E" w14:textId="79A250E0" w:rsidR="00D34892" w:rsidRPr="00D34892" w:rsidRDefault="00D34892" w:rsidP="001471AD">
      <w:pPr>
        <w:ind w:left="567"/>
        <w:rPr>
          <w:rFonts w:ascii="Calibri" w:hAnsi="Calibri" w:cs="Calibri"/>
        </w:rPr>
      </w:pPr>
      <w:r w:rsidRPr="00D34892">
        <w:rPr>
          <w:rFonts w:ascii="Calibri" w:hAnsi="Calibri" w:cs="Calibri"/>
        </w:rPr>
        <w:t>Les membres peuvent être révoqués pour (à compléter par le bailleur, p.ex.</w:t>
      </w:r>
      <w:r>
        <w:rPr>
          <w:rFonts w:ascii="Calibri" w:hAnsi="Calibri" w:cs="Calibri"/>
        </w:rPr>
        <w:t> </w:t>
      </w:r>
      <w:r w:rsidRPr="00D34892">
        <w:rPr>
          <w:rFonts w:ascii="Calibri" w:hAnsi="Calibri" w:cs="Calibri"/>
        </w:rPr>
        <w:t>manquement à la déontologie, absences répétées, etc.).</w:t>
      </w:r>
    </w:p>
    <w:p w14:paraId="1152AF60" w14:textId="032B0194" w:rsidR="00D34892" w:rsidRPr="00D34892" w:rsidRDefault="00D34892" w:rsidP="00082A49">
      <w:pPr>
        <w:pStyle w:val="Heading2"/>
      </w:pPr>
      <w:r w:rsidRPr="00D34892">
        <w:t>Fonctionnement de la commission</w:t>
      </w:r>
    </w:p>
    <w:p w14:paraId="2C1EBCD5" w14:textId="77777777" w:rsidR="00D34892" w:rsidRPr="00D34892" w:rsidRDefault="00D34892" w:rsidP="001471AD">
      <w:pPr>
        <w:ind w:left="567"/>
        <w:rPr>
          <w:rFonts w:ascii="Calibri" w:hAnsi="Calibri" w:cs="Calibri"/>
        </w:rPr>
      </w:pPr>
      <w:r w:rsidRPr="00D34892">
        <w:rPr>
          <w:rFonts w:ascii="Calibri" w:hAnsi="Calibri" w:cs="Calibri"/>
        </w:rPr>
        <w:t>La commission délibère valablement uniquement si la majorité des membres est présente.</w:t>
      </w:r>
    </w:p>
    <w:p w14:paraId="323F11BE" w14:textId="77777777" w:rsidR="00D34892" w:rsidRPr="00D34892" w:rsidRDefault="00D34892" w:rsidP="001471AD">
      <w:pPr>
        <w:ind w:left="567"/>
        <w:rPr>
          <w:rFonts w:ascii="Calibri" w:hAnsi="Calibri" w:cs="Calibri"/>
        </w:rPr>
      </w:pPr>
      <w:r w:rsidRPr="00D34892">
        <w:rPr>
          <w:rFonts w:ascii="Calibri" w:hAnsi="Calibri" w:cs="Calibri"/>
        </w:rPr>
        <w:t>Les décisions sont adoptées à la majorité des voix exprimées.</w:t>
      </w:r>
    </w:p>
    <w:p w14:paraId="3898821C" w14:textId="77777777" w:rsidR="00D34892" w:rsidRPr="00D34892" w:rsidRDefault="00D34892" w:rsidP="001471AD">
      <w:pPr>
        <w:ind w:left="567"/>
        <w:rPr>
          <w:rFonts w:ascii="Calibri" w:hAnsi="Calibri" w:cs="Calibri"/>
        </w:rPr>
      </w:pPr>
      <w:r w:rsidRPr="00D34892">
        <w:rPr>
          <w:rFonts w:ascii="Calibri" w:hAnsi="Calibri" w:cs="Calibri"/>
        </w:rPr>
        <w:t>En cas d’égalité des voix, celle du président est prépondérante.</w:t>
      </w:r>
    </w:p>
    <w:p w14:paraId="4DC44F14" w14:textId="77777777" w:rsidR="00D34892" w:rsidRPr="00D34892" w:rsidRDefault="00D34892" w:rsidP="001471AD">
      <w:pPr>
        <w:ind w:left="567"/>
        <w:rPr>
          <w:rFonts w:ascii="Calibri" w:hAnsi="Calibri" w:cs="Calibri"/>
        </w:rPr>
      </w:pPr>
      <w:r w:rsidRPr="00D34892">
        <w:rPr>
          <w:rFonts w:ascii="Calibri" w:hAnsi="Calibri" w:cs="Calibri"/>
        </w:rPr>
        <w:t>La commission se réunit et émet un avis avant toute attribution de logement ou de relogement.</w:t>
      </w:r>
    </w:p>
    <w:p w14:paraId="7F1A831C" w14:textId="77777777" w:rsidR="00D34892" w:rsidRPr="00D34892" w:rsidRDefault="00D34892" w:rsidP="001471AD">
      <w:pPr>
        <w:ind w:left="567"/>
        <w:rPr>
          <w:rFonts w:ascii="Calibri" w:hAnsi="Calibri" w:cs="Calibri"/>
        </w:rPr>
      </w:pPr>
      <w:r w:rsidRPr="00D34892">
        <w:rPr>
          <w:rFonts w:ascii="Calibri" w:hAnsi="Calibri" w:cs="Calibri"/>
        </w:rPr>
        <w:t>Le relogement est priorisé, si possible, avant toute attribution de logement à de nouveaux candidats-locataires.</w:t>
      </w:r>
    </w:p>
    <w:p w14:paraId="3724C900" w14:textId="5A60828F" w:rsidR="00D34892" w:rsidRPr="00082A49" w:rsidRDefault="00D34892" w:rsidP="00082A49">
      <w:pPr>
        <w:pStyle w:val="Heading3"/>
      </w:pPr>
      <w:r w:rsidRPr="00082A49">
        <w:lastRenderedPageBreak/>
        <w:t>Quorum</w:t>
      </w:r>
    </w:p>
    <w:p w14:paraId="193FDA59" w14:textId="77777777" w:rsidR="00D34892" w:rsidRPr="00D34892" w:rsidRDefault="00D34892" w:rsidP="001471AD">
      <w:pPr>
        <w:ind w:left="567"/>
        <w:rPr>
          <w:rFonts w:ascii="Calibri" w:hAnsi="Calibri" w:cs="Calibri"/>
        </w:rPr>
      </w:pPr>
      <w:r w:rsidRPr="00D34892">
        <w:rPr>
          <w:rFonts w:ascii="Calibri" w:hAnsi="Calibri" w:cs="Calibri"/>
        </w:rPr>
        <w:t>Le quorum est atteint lorsque la majorité des membres effectifs ou de leurs suppléants respectifs est présente.</w:t>
      </w:r>
    </w:p>
    <w:p w14:paraId="41A83789" w14:textId="77777777" w:rsidR="00D34892" w:rsidRPr="00D34892" w:rsidRDefault="00D34892" w:rsidP="001471AD">
      <w:pPr>
        <w:ind w:left="567"/>
        <w:rPr>
          <w:rFonts w:ascii="Calibri" w:hAnsi="Calibri" w:cs="Calibri"/>
        </w:rPr>
      </w:pPr>
      <w:r w:rsidRPr="00D34892">
        <w:rPr>
          <w:rFonts w:ascii="Calibri" w:hAnsi="Calibri" w:cs="Calibri"/>
        </w:rPr>
        <w:t>En cas d’absence de quorum, une nouvelle réunion est convoquée par le secrétaire administratif dans un délai de (à compléter par le bailleur) jours.</w:t>
      </w:r>
    </w:p>
    <w:p w14:paraId="6D676D3D" w14:textId="31B5F471" w:rsidR="00D34892" w:rsidRPr="00D34892" w:rsidRDefault="00D34892" w:rsidP="00082A49">
      <w:pPr>
        <w:pStyle w:val="Heading3"/>
      </w:pPr>
      <w:r w:rsidRPr="00D34892">
        <w:t>Liste de présence</w:t>
      </w:r>
    </w:p>
    <w:p w14:paraId="33D6C1A2" w14:textId="77777777" w:rsidR="00D34892" w:rsidRPr="00D34892" w:rsidRDefault="00D34892" w:rsidP="001471AD">
      <w:pPr>
        <w:ind w:left="567"/>
        <w:rPr>
          <w:rFonts w:ascii="Calibri" w:hAnsi="Calibri" w:cs="Calibri"/>
        </w:rPr>
      </w:pPr>
      <w:r w:rsidRPr="00D34892">
        <w:rPr>
          <w:rFonts w:ascii="Calibri" w:hAnsi="Calibri" w:cs="Calibri"/>
        </w:rPr>
        <w:t>Avant chaque réunion, une liste de présence est signée par les membres présents.</w:t>
      </w:r>
    </w:p>
    <w:p w14:paraId="50CF4316" w14:textId="286B61F8" w:rsidR="00D34892" w:rsidRPr="00D34892" w:rsidRDefault="00D34892" w:rsidP="00082A49">
      <w:pPr>
        <w:pStyle w:val="Heading3"/>
      </w:pPr>
      <w:r w:rsidRPr="00D34892">
        <w:t>Procès-verbal de réunion</w:t>
      </w:r>
    </w:p>
    <w:p w14:paraId="3A4D77A9" w14:textId="77777777" w:rsidR="00D34892" w:rsidRPr="00D34892" w:rsidRDefault="00D34892" w:rsidP="001471AD">
      <w:pPr>
        <w:ind w:left="567"/>
        <w:rPr>
          <w:rFonts w:ascii="Calibri" w:hAnsi="Calibri" w:cs="Calibri"/>
        </w:rPr>
      </w:pPr>
      <w:r w:rsidRPr="00D34892">
        <w:rPr>
          <w:rFonts w:ascii="Calibri" w:hAnsi="Calibri" w:cs="Calibri"/>
        </w:rPr>
        <w:t>Un procès-verbal est rédigé par le secrétaire administratif après chaque réunion. Il comprend au minimum :</w:t>
      </w:r>
    </w:p>
    <w:p w14:paraId="48F471F9" w14:textId="1247F4CC" w:rsidR="00D34892" w:rsidRPr="00D34892" w:rsidRDefault="00D34892" w:rsidP="00D34892">
      <w:pPr>
        <w:pStyle w:val="ListParagraph"/>
        <w:numPr>
          <w:ilvl w:val="0"/>
          <w:numId w:val="18"/>
        </w:numPr>
        <w:rPr>
          <w:rFonts w:ascii="Calibri" w:hAnsi="Calibri" w:cs="Calibri"/>
        </w:rPr>
      </w:pPr>
      <w:r w:rsidRPr="00D34892">
        <w:rPr>
          <w:rFonts w:ascii="Calibri" w:hAnsi="Calibri" w:cs="Calibri"/>
        </w:rPr>
        <w:t>Date de la réunion</w:t>
      </w:r>
    </w:p>
    <w:p w14:paraId="64C546A8" w14:textId="2E77775F" w:rsidR="00D34892" w:rsidRPr="00D34892" w:rsidRDefault="00D34892" w:rsidP="00D34892">
      <w:pPr>
        <w:pStyle w:val="ListParagraph"/>
        <w:numPr>
          <w:ilvl w:val="0"/>
          <w:numId w:val="18"/>
        </w:numPr>
        <w:rPr>
          <w:rFonts w:ascii="Calibri" w:hAnsi="Calibri" w:cs="Calibri"/>
        </w:rPr>
      </w:pPr>
      <w:r w:rsidRPr="00D34892">
        <w:rPr>
          <w:rFonts w:ascii="Calibri" w:hAnsi="Calibri" w:cs="Calibri"/>
        </w:rPr>
        <w:t>Membres présents (effectifs ou suppléants)</w:t>
      </w:r>
    </w:p>
    <w:p w14:paraId="7F3475C4" w14:textId="62F065FC" w:rsidR="00D34892" w:rsidRPr="00D34892" w:rsidRDefault="00D34892" w:rsidP="00D34892">
      <w:pPr>
        <w:pStyle w:val="ListParagraph"/>
        <w:numPr>
          <w:ilvl w:val="0"/>
          <w:numId w:val="18"/>
        </w:numPr>
        <w:rPr>
          <w:rFonts w:ascii="Calibri" w:hAnsi="Calibri" w:cs="Calibri"/>
        </w:rPr>
      </w:pPr>
      <w:r w:rsidRPr="00D34892">
        <w:rPr>
          <w:rFonts w:ascii="Calibri" w:hAnsi="Calibri" w:cs="Calibri"/>
        </w:rPr>
        <w:t>Décisions prises (attributions et relogements)</w:t>
      </w:r>
    </w:p>
    <w:p w14:paraId="1A96DF22" w14:textId="718E0949" w:rsidR="00D34892" w:rsidRPr="00D34892" w:rsidRDefault="00D34892" w:rsidP="00D34892">
      <w:pPr>
        <w:pStyle w:val="ListParagraph"/>
        <w:numPr>
          <w:ilvl w:val="0"/>
          <w:numId w:val="18"/>
        </w:numPr>
        <w:rPr>
          <w:rFonts w:ascii="Calibri" w:hAnsi="Calibri" w:cs="Calibri"/>
        </w:rPr>
      </w:pPr>
      <w:r w:rsidRPr="00D34892">
        <w:rPr>
          <w:rFonts w:ascii="Calibri" w:hAnsi="Calibri" w:cs="Calibri"/>
        </w:rPr>
        <w:t>Méthodologie de relogement</w:t>
      </w:r>
    </w:p>
    <w:p w14:paraId="28FAE9CE" w14:textId="6073C59A" w:rsidR="00D34892" w:rsidRPr="00D34892" w:rsidRDefault="00D34892" w:rsidP="00D34892">
      <w:pPr>
        <w:pStyle w:val="ListParagraph"/>
        <w:numPr>
          <w:ilvl w:val="0"/>
          <w:numId w:val="18"/>
        </w:numPr>
        <w:rPr>
          <w:rFonts w:ascii="Calibri" w:hAnsi="Calibri" w:cs="Calibri"/>
        </w:rPr>
      </w:pPr>
      <w:r w:rsidRPr="00D34892">
        <w:rPr>
          <w:rFonts w:ascii="Calibri" w:hAnsi="Calibri" w:cs="Calibri"/>
        </w:rPr>
        <w:t>…</w:t>
      </w:r>
    </w:p>
    <w:p w14:paraId="3CE83E21" w14:textId="77777777" w:rsidR="00D34892" w:rsidRPr="00D34892" w:rsidRDefault="00D34892" w:rsidP="001471AD">
      <w:pPr>
        <w:ind w:left="567"/>
        <w:rPr>
          <w:rFonts w:ascii="Calibri" w:hAnsi="Calibri" w:cs="Calibri"/>
        </w:rPr>
      </w:pPr>
      <w:r w:rsidRPr="00D34892">
        <w:rPr>
          <w:rFonts w:ascii="Calibri" w:hAnsi="Calibri" w:cs="Calibri"/>
        </w:rPr>
        <w:t>(</w:t>
      </w:r>
      <w:proofErr w:type="gramStart"/>
      <w:r w:rsidRPr="00D34892">
        <w:rPr>
          <w:rFonts w:ascii="Calibri" w:hAnsi="Calibri" w:cs="Calibri"/>
        </w:rPr>
        <w:t>à</w:t>
      </w:r>
      <w:proofErr w:type="gramEnd"/>
      <w:r w:rsidRPr="00D34892">
        <w:rPr>
          <w:rFonts w:ascii="Calibri" w:hAnsi="Calibri" w:cs="Calibri"/>
        </w:rPr>
        <w:t xml:space="preserve"> compléter par le bailleur, au besoin)</w:t>
      </w:r>
    </w:p>
    <w:p w14:paraId="34A45DF7" w14:textId="6C4B31ED" w:rsidR="00D34892" w:rsidRPr="00D34892" w:rsidRDefault="00D34892" w:rsidP="00082A49">
      <w:pPr>
        <w:pStyle w:val="Heading3"/>
      </w:pPr>
      <w:r w:rsidRPr="00D34892">
        <w:t>Méthodologie des relogements</w:t>
      </w:r>
    </w:p>
    <w:p w14:paraId="20B5AEBD" w14:textId="77777777" w:rsidR="00D34892" w:rsidRPr="00D34892" w:rsidRDefault="00D34892" w:rsidP="001471AD">
      <w:pPr>
        <w:ind w:left="567"/>
        <w:rPr>
          <w:rFonts w:ascii="Calibri" w:hAnsi="Calibri" w:cs="Calibri"/>
        </w:rPr>
      </w:pPr>
      <w:r w:rsidRPr="00D34892">
        <w:rPr>
          <w:rFonts w:ascii="Calibri" w:hAnsi="Calibri" w:cs="Calibri"/>
        </w:rPr>
        <w:t>Les demandes de relogement sont examinées selon :</w:t>
      </w:r>
    </w:p>
    <w:p w14:paraId="74FD529D" w14:textId="0533F260" w:rsidR="00D34892" w:rsidRPr="00D34892" w:rsidRDefault="00D34892" w:rsidP="00D34892">
      <w:pPr>
        <w:pStyle w:val="ListParagraph"/>
        <w:numPr>
          <w:ilvl w:val="0"/>
          <w:numId w:val="18"/>
        </w:numPr>
        <w:rPr>
          <w:rFonts w:ascii="Calibri" w:hAnsi="Calibri" w:cs="Calibri"/>
        </w:rPr>
      </w:pPr>
      <w:r w:rsidRPr="00D34892">
        <w:rPr>
          <w:rFonts w:ascii="Calibri" w:hAnsi="Calibri" w:cs="Calibri"/>
        </w:rPr>
        <w:t>La typologie des logements disponibles</w:t>
      </w:r>
    </w:p>
    <w:p w14:paraId="35573597" w14:textId="773DC7A4" w:rsidR="00D34892" w:rsidRPr="00D34892" w:rsidRDefault="00D34892" w:rsidP="00D34892">
      <w:pPr>
        <w:pStyle w:val="ListParagraph"/>
        <w:numPr>
          <w:ilvl w:val="0"/>
          <w:numId w:val="18"/>
        </w:numPr>
        <w:rPr>
          <w:rFonts w:ascii="Calibri" w:hAnsi="Calibri" w:cs="Calibri"/>
        </w:rPr>
      </w:pPr>
      <w:r w:rsidRPr="00D34892">
        <w:rPr>
          <w:rFonts w:ascii="Calibri" w:hAnsi="Calibri" w:cs="Calibri"/>
        </w:rPr>
        <w:t>…</w:t>
      </w:r>
    </w:p>
    <w:p w14:paraId="6DAFB2B3" w14:textId="77777777" w:rsidR="00D34892" w:rsidRPr="00D34892" w:rsidRDefault="00D34892" w:rsidP="001471AD">
      <w:pPr>
        <w:ind w:left="567"/>
        <w:rPr>
          <w:rFonts w:ascii="Calibri" w:hAnsi="Calibri" w:cs="Calibri"/>
        </w:rPr>
      </w:pPr>
      <w:r w:rsidRPr="00D34892">
        <w:rPr>
          <w:rFonts w:ascii="Calibri" w:hAnsi="Calibri" w:cs="Calibri"/>
        </w:rPr>
        <w:t>(</w:t>
      </w:r>
      <w:proofErr w:type="gramStart"/>
      <w:r w:rsidRPr="00D34892">
        <w:rPr>
          <w:rFonts w:ascii="Calibri" w:hAnsi="Calibri" w:cs="Calibri"/>
        </w:rPr>
        <w:t>à</w:t>
      </w:r>
      <w:proofErr w:type="gramEnd"/>
      <w:r w:rsidRPr="00D34892">
        <w:rPr>
          <w:rFonts w:ascii="Calibri" w:hAnsi="Calibri" w:cs="Calibri"/>
        </w:rPr>
        <w:t xml:space="preserve"> compléter par le bailleur, au besoin)</w:t>
      </w:r>
    </w:p>
    <w:p w14:paraId="052DB2E8" w14:textId="6D553160" w:rsidR="00D34892" w:rsidRPr="00D34892" w:rsidRDefault="00D34892" w:rsidP="00082A49">
      <w:pPr>
        <w:pStyle w:val="Heading3"/>
      </w:pPr>
      <w:r w:rsidRPr="00D34892">
        <w:t>Principe de résiliation des baux</w:t>
      </w:r>
    </w:p>
    <w:p w14:paraId="45351D7C" w14:textId="77777777" w:rsidR="00D34892" w:rsidRPr="00D34892" w:rsidRDefault="00D34892" w:rsidP="001471AD">
      <w:pPr>
        <w:ind w:left="567"/>
        <w:rPr>
          <w:rFonts w:ascii="Calibri" w:hAnsi="Calibri" w:cs="Calibri"/>
        </w:rPr>
      </w:pPr>
      <w:r w:rsidRPr="00D34892">
        <w:rPr>
          <w:rFonts w:ascii="Calibri" w:hAnsi="Calibri" w:cs="Calibri"/>
        </w:rPr>
        <w:t>La commission peut proposer la résiliation d’un bail abordable si le locataire ne respecte pas ses obligations contractuelles conformément à l’article 69 de la Loi.</w:t>
      </w:r>
    </w:p>
    <w:p w14:paraId="21B90886" w14:textId="774937DA" w:rsidR="00D34892" w:rsidRPr="00D34892" w:rsidRDefault="00D34892" w:rsidP="00082A49">
      <w:pPr>
        <w:pStyle w:val="Heading2"/>
      </w:pPr>
      <w:r w:rsidRPr="00D34892">
        <w:t>Déontologie</w:t>
      </w:r>
    </w:p>
    <w:p w14:paraId="5288B46D" w14:textId="77777777" w:rsidR="00D34892" w:rsidRPr="00D34892" w:rsidRDefault="00D34892" w:rsidP="001471AD">
      <w:pPr>
        <w:ind w:left="567"/>
        <w:rPr>
          <w:rFonts w:ascii="Calibri" w:hAnsi="Calibri" w:cs="Calibri"/>
        </w:rPr>
      </w:pPr>
      <w:r w:rsidRPr="00D34892">
        <w:rPr>
          <w:rFonts w:ascii="Calibri" w:hAnsi="Calibri" w:cs="Calibri"/>
        </w:rPr>
        <w:t xml:space="preserve">Les membres de la commission adoptent leurs avis dans le respect des droits fondamentaux et sans discrimination aucune, fondée notamment sur le sexe, la race, la couleur, les origines ethniques ou sociales, les caractéristiques génétiques, la langue, la religion ou les convictions, les opinions politiques ou toute autre opinion, l’appartenance à une minorité nationale, la fortune, la naissance, un handicap, l’âge, l’orientation sexuelle ou toute autre situation. </w:t>
      </w:r>
    </w:p>
    <w:p w14:paraId="617E98D4" w14:textId="77777777" w:rsidR="00D34892" w:rsidRPr="00D34892" w:rsidRDefault="00D34892" w:rsidP="001471AD">
      <w:pPr>
        <w:ind w:left="567"/>
        <w:rPr>
          <w:rFonts w:ascii="Calibri" w:hAnsi="Calibri" w:cs="Calibri"/>
        </w:rPr>
      </w:pPr>
      <w:r w:rsidRPr="00D34892">
        <w:rPr>
          <w:rFonts w:ascii="Calibri" w:hAnsi="Calibri" w:cs="Calibri"/>
        </w:rPr>
        <w:t>(</w:t>
      </w:r>
      <w:proofErr w:type="gramStart"/>
      <w:r w:rsidRPr="00D34892">
        <w:rPr>
          <w:rFonts w:ascii="Calibri" w:hAnsi="Calibri" w:cs="Calibri"/>
        </w:rPr>
        <w:t>à</w:t>
      </w:r>
      <w:proofErr w:type="gramEnd"/>
      <w:r w:rsidRPr="00D34892">
        <w:rPr>
          <w:rFonts w:ascii="Calibri" w:hAnsi="Calibri" w:cs="Calibri"/>
        </w:rPr>
        <w:t xml:space="preserve"> compléter par le bailleur, au besoin)</w:t>
      </w:r>
    </w:p>
    <w:p w14:paraId="50B9F80C" w14:textId="77777777" w:rsidR="00D34892" w:rsidRPr="00D34892" w:rsidRDefault="00D34892" w:rsidP="001471AD">
      <w:pPr>
        <w:ind w:left="567"/>
        <w:rPr>
          <w:rFonts w:ascii="Calibri" w:hAnsi="Calibri" w:cs="Calibri"/>
        </w:rPr>
      </w:pPr>
      <w:r w:rsidRPr="00D34892">
        <w:rPr>
          <w:rFonts w:ascii="Calibri" w:hAnsi="Calibri" w:cs="Calibri"/>
        </w:rPr>
        <w:lastRenderedPageBreak/>
        <w:t>Les participants aux réunions de la commission gardent le secret des délibérations et des votes de la commission.</w:t>
      </w:r>
    </w:p>
    <w:p w14:paraId="096DC7F1" w14:textId="5BC5B580" w:rsidR="00D34892" w:rsidRPr="00D34892" w:rsidRDefault="00D34892" w:rsidP="00082A49">
      <w:pPr>
        <w:pStyle w:val="Heading2"/>
      </w:pPr>
      <w:r w:rsidRPr="00D34892">
        <w:t>Méthodologie de l’évaluation des critères d’attribution socio-économiques des logements</w:t>
      </w:r>
    </w:p>
    <w:p w14:paraId="539C2B63" w14:textId="77777777" w:rsidR="00D34892" w:rsidRPr="00D34892" w:rsidRDefault="00D34892" w:rsidP="001471AD">
      <w:pPr>
        <w:ind w:left="567"/>
        <w:rPr>
          <w:rFonts w:ascii="Calibri" w:hAnsi="Calibri" w:cs="Calibri"/>
        </w:rPr>
      </w:pPr>
      <w:r w:rsidRPr="00D34892">
        <w:rPr>
          <w:rFonts w:ascii="Calibri" w:hAnsi="Calibri" w:cs="Calibri"/>
        </w:rPr>
        <w:t>(</w:t>
      </w:r>
      <w:proofErr w:type="gramStart"/>
      <w:r w:rsidRPr="00D34892">
        <w:rPr>
          <w:rFonts w:ascii="Calibri" w:hAnsi="Calibri" w:cs="Calibri"/>
        </w:rPr>
        <w:t>définir</w:t>
      </w:r>
      <w:proofErr w:type="gramEnd"/>
      <w:r w:rsidRPr="00D34892">
        <w:rPr>
          <w:rFonts w:ascii="Calibri" w:hAnsi="Calibri" w:cs="Calibri"/>
        </w:rPr>
        <w:t xml:space="preserve"> ici les procédures internes écrites prévoyant la méthodologie de l’évaluation sommaire des critères d’attribution socio-économiques adaptés à la finalité des logements)</w:t>
      </w:r>
    </w:p>
    <w:p w14:paraId="29394FB4" w14:textId="79FC87DE" w:rsidR="00D34892" w:rsidRPr="00D34892" w:rsidRDefault="00D34892" w:rsidP="00082A49">
      <w:pPr>
        <w:pStyle w:val="Heading2"/>
      </w:pPr>
      <w:r w:rsidRPr="00D34892">
        <w:t>Bilan d’activité</w:t>
      </w:r>
    </w:p>
    <w:p w14:paraId="16B384F5" w14:textId="77777777" w:rsidR="00D34892" w:rsidRPr="00D34892" w:rsidRDefault="00D34892" w:rsidP="001471AD">
      <w:pPr>
        <w:ind w:left="567"/>
        <w:rPr>
          <w:rFonts w:ascii="Calibri" w:hAnsi="Calibri" w:cs="Calibri"/>
        </w:rPr>
      </w:pPr>
      <w:r w:rsidRPr="00D34892">
        <w:rPr>
          <w:rFonts w:ascii="Calibri" w:hAnsi="Calibri" w:cs="Calibri"/>
        </w:rPr>
        <w:t>Un rapport annuel est rédigé par (à compléter par le bailleur : président, secrétaire, etc.), incluant :</w:t>
      </w:r>
    </w:p>
    <w:p w14:paraId="0000794F" w14:textId="5B42F937" w:rsidR="00D34892" w:rsidRPr="00D34892" w:rsidRDefault="00D34892" w:rsidP="00A058C1">
      <w:pPr>
        <w:pStyle w:val="ListParagraph"/>
        <w:numPr>
          <w:ilvl w:val="0"/>
          <w:numId w:val="18"/>
        </w:numPr>
        <w:ind w:left="851" w:hanging="284"/>
        <w:rPr>
          <w:rFonts w:ascii="Calibri" w:hAnsi="Calibri" w:cs="Calibri"/>
        </w:rPr>
      </w:pPr>
      <w:proofErr w:type="gramStart"/>
      <w:r w:rsidRPr="00D34892">
        <w:rPr>
          <w:rFonts w:ascii="Calibri" w:hAnsi="Calibri" w:cs="Calibri"/>
        </w:rPr>
        <w:t>les</w:t>
      </w:r>
      <w:proofErr w:type="gramEnd"/>
      <w:r w:rsidRPr="00D34892">
        <w:rPr>
          <w:rFonts w:ascii="Calibri" w:hAnsi="Calibri" w:cs="Calibri"/>
        </w:rPr>
        <w:t xml:space="preserve"> décisions adoptées</w:t>
      </w:r>
    </w:p>
    <w:p w14:paraId="2D3A780F" w14:textId="295BBFA6" w:rsidR="00D34892" w:rsidRPr="00D34892" w:rsidRDefault="00D34892" w:rsidP="00A058C1">
      <w:pPr>
        <w:pStyle w:val="ListParagraph"/>
        <w:numPr>
          <w:ilvl w:val="0"/>
          <w:numId w:val="18"/>
        </w:numPr>
        <w:ind w:left="851" w:hanging="284"/>
        <w:rPr>
          <w:rFonts w:ascii="Calibri" w:hAnsi="Calibri" w:cs="Calibri"/>
        </w:rPr>
      </w:pPr>
      <w:proofErr w:type="gramStart"/>
      <w:r>
        <w:rPr>
          <w:rFonts w:ascii="Calibri" w:hAnsi="Calibri" w:cs="Calibri"/>
        </w:rPr>
        <w:t>l</w:t>
      </w:r>
      <w:r w:rsidRPr="00D34892">
        <w:rPr>
          <w:rFonts w:ascii="Calibri" w:hAnsi="Calibri" w:cs="Calibri"/>
        </w:rPr>
        <w:t>e</w:t>
      </w:r>
      <w:proofErr w:type="gramEnd"/>
      <w:r w:rsidRPr="00D34892">
        <w:rPr>
          <w:rFonts w:ascii="Calibri" w:hAnsi="Calibri" w:cs="Calibri"/>
        </w:rPr>
        <w:t xml:space="preserve"> nombre de réunions</w:t>
      </w:r>
    </w:p>
    <w:p w14:paraId="371C9F4F" w14:textId="46639224" w:rsidR="00D34892" w:rsidRPr="00D34892" w:rsidRDefault="00D34892" w:rsidP="00A058C1">
      <w:pPr>
        <w:pStyle w:val="ListParagraph"/>
        <w:numPr>
          <w:ilvl w:val="0"/>
          <w:numId w:val="18"/>
        </w:numPr>
        <w:ind w:left="851" w:hanging="284"/>
        <w:rPr>
          <w:rFonts w:ascii="Calibri" w:hAnsi="Calibri" w:cs="Calibri"/>
        </w:rPr>
      </w:pPr>
      <w:proofErr w:type="gramStart"/>
      <w:r w:rsidRPr="00D34892">
        <w:rPr>
          <w:rFonts w:ascii="Calibri" w:hAnsi="Calibri" w:cs="Calibri"/>
        </w:rPr>
        <w:t>les</w:t>
      </w:r>
      <w:proofErr w:type="gramEnd"/>
      <w:r w:rsidRPr="00D34892">
        <w:rPr>
          <w:rFonts w:ascii="Calibri" w:hAnsi="Calibri" w:cs="Calibri"/>
        </w:rPr>
        <w:t xml:space="preserve"> logements attribués</w:t>
      </w:r>
    </w:p>
    <w:p w14:paraId="60186261" w14:textId="77777777" w:rsidR="00D34892" w:rsidRPr="00D34892" w:rsidRDefault="00D34892" w:rsidP="001471AD">
      <w:pPr>
        <w:ind w:left="567"/>
        <w:rPr>
          <w:rFonts w:ascii="Calibri" w:hAnsi="Calibri" w:cs="Calibri"/>
        </w:rPr>
      </w:pPr>
      <w:r w:rsidRPr="00D34892">
        <w:rPr>
          <w:rFonts w:ascii="Calibri" w:hAnsi="Calibri" w:cs="Calibri"/>
        </w:rPr>
        <w:t>(</w:t>
      </w:r>
      <w:proofErr w:type="gramStart"/>
      <w:r w:rsidRPr="00D34892">
        <w:rPr>
          <w:rFonts w:ascii="Calibri" w:hAnsi="Calibri" w:cs="Calibri"/>
        </w:rPr>
        <w:t>à</w:t>
      </w:r>
      <w:proofErr w:type="gramEnd"/>
      <w:r w:rsidRPr="00D34892">
        <w:rPr>
          <w:rFonts w:ascii="Calibri" w:hAnsi="Calibri" w:cs="Calibri"/>
        </w:rPr>
        <w:t xml:space="preserve"> compléter par le bailleur, au besoin)</w:t>
      </w:r>
    </w:p>
    <w:p w14:paraId="2283046C" w14:textId="4D67F501" w:rsidR="00D34892" w:rsidRPr="00D34892" w:rsidRDefault="00D34892" w:rsidP="00082A49">
      <w:pPr>
        <w:pStyle w:val="Heading2"/>
      </w:pPr>
      <w:r w:rsidRPr="00D34892">
        <w:t>Conservation et archivage des données à caractère personnel des candidatures présentées</w:t>
      </w:r>
    </w:p>
    <w:p w14:paraId="174D6D44" w14:textId="77777777" w:rsidR="00D34892" w:rsidRPr="00D34892" w:rsidRDefault="00D34892" w:rsidP="001471AD">
      <w:pPr>
        <w:ind w:left="567"/>
        <w:rPr>
          <w:rFonts w:ascii="Calibri" w:hAnsi="Calibri" w:cs="Calibri"/>
        </w:rPr>
      </w:pPr>
      <w:r w:rsidRPr="00D34892">
        <w:rPr>
          <w:rFonts w:ascii="Calibri" w:hAnsi="Calibri" w:cs="Calibri"/>
        </w:rPr>
        <w:t>La commission consultative respecte la législation en vigueur sur la protection des données à caractère personnel, et notamment le règlement (UE) 2016/679 du Parlement européen et du Conseil du 27 avril 2016 relatif à la protection des personnes physiques à l’égard du traitement des données à caractère personnel et à la libre circulation de ces données. Les données des candidats sont conservées de manière sécurisée et ne sont accessibles qu’aux membres de la commission durant la présentation de leur dossier.</w:t>
      </w:r>
    </w:p>
    <w:p w14:paraId="10658EDD" w14:textId="77777777" w:rsidR="00D34892" w:rsidRPr="00D34892" w:rsidRDefault="00D34892" w:rsidP="001471AD">
      <w:pPr>
        <w:ind w:left="567"/>
        <w:rPr>
          <w:rFonts w:ascii="Calibri" w:hAnsi="Calibri" w:cs="Calibri"/>
        </w:rPr>
      </w:pPr>
      <w:r w:rsidRPr="00D34892">
        <w:rPr>
          <w:rFonts w:ascii="Calibri" w:hAnsi="Calibri" w:cs="Calibri"/>
        </w:rPr>
        <w:t xml:space="preserve">Dans le cadre du traitement de la demande, le service (à compléter par bailleur), du bailleur avec le numéro d’agrément suivant (à compléter par bailleur) est amené à collecter les données personnelles contenues dans l’enquête sociale ainsi que tout document lié à la candidature. La finalité de cette collecte de données consiste en la gestion des demandes de logement ainsi qu’n son attribution. Elles peuvent également servir à des fins statistiques ou archivistes dans un but d’intérêt public. </w:t>
      </w:r>
    </w:p>
    <w:p w14:paraId="4434EF28" w14:textId="232680DD" w:rsidR="0054608B" w:rsidRPr="00D34892" w:rsidRDefault="00D34892" w:rsidP="001471AD">
      <w:pPr>
        <w:ind w:left="567"/>
        <w:rPr>
          <w:rFonts w:ascii="Calibri" w:hAnsi="Calibri" w:cs="Calibri"/>
        </w:rPr>
      </w:pPr>
      <w:r w:rsidRPr="00D34892">
        <w:rPr>
          <w:rFonts w:ascii="Calibri" w:hAnsi="Calibri" w:cs="Calibri"/>
        </w:rPr>
        <w:t>La durée du maintien des données traitées correspond à la durée de maintien des candidats-locataires sur la liste d’attente. Le responsable de traitement au sein de (à compléter par bailleur, nom du bailleur social) est (à compléter par bailleur, coordonnées de la personne chargée DPO).</w:t>
      </w:r>
    </w:p>
    <w:sectPr w:rsidR="0054608B" w:rsidRPr="00D34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A67"/>
    <w:multiLevelType w:val="hybridMultilevel"/>
    <w:tmpl w:val="CBDC5E4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27CA33E7"/>
    <w:multiLevelType w:val="hybridMultilevel"/>
    <w:tmpl w:val="AAC8276C"/>
    <w:lvl w:ilvl="0" w:tplc="84A0771C">
      <w:start w:val="1"/>
      <w:numFmt w:val="decimal"/>
      <w:lvlText w:val="3.%1"/>
      <w:lvlJc w:val="left"/>
      <w:pPr>
        <w:ind w:left="720" w:hanging="360"/>
      </w:pPr>
      <w:rPr>
        <w:rFonts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51F44EE0"/>
    <w:multiLevelType w:val="multilevel"/>
    <w:tmpl w:val="E6B41BB0"/>
    <w:lvl w:ilvl="0">
      <w:start w:val="3"/>
      <w:numFmt w:val="decimal"/>
      <w:lvlText w:val="%1"/>
      <w:lvlJc w:val="left"/>
      <w:pPr>
        <w:ind w:left="390" w:hanging="390"/>
      </w:pPr>
      <w:rPr>
        <w:rFonts w:hint="default"/>
      </w:rPr>
    </w:lvl>
    <w:lvl w:ilvl="1">
      <w:start w:val="1"/>
      <w:numFmt w:val="decimal"/>
      <w:pStyle w:val="Heading3"/>
      <w:lvlText w:val="%1.%2"/>
      <w:lvlJc w:val="left"/>
      <w:pPr>
        <w:ind w:left="1287"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62576BD4"/>
    <w:multiLevelType w:val="multilevel"/>
    <w:tmpl w:val="5FACB3C4"/>
    <w:lvl w:ilvl="0">
      <w:start w:val="1"/>
      <w:numFmt w:val="decimal"/>
      <w:pStyle w:val="Heading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3772B57"/>
    <w:multiLevelType w:val="hybridMultilevel"/>
    <w:tmpl w:val="DBAE42A2"/>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712C6B36"/>
    <w:multiLevelType w:val="hybridMultilevel"/>
    <w:tmpl w:val="A0763E44"/>
    <w:lvl w:ilvl="0" w:tplc="140C0001">
      <w:start w:val="1"/>
      <w:numFmt w:val="bullet"/>
      <w:lvlText w:val=""/>
      <w:lvlJc w:val="left"/>
      <w:pPr>
        <w:ind w:left="1287" w:hanging="360"/>
      </w:pPr>
      <w:rPr>
        <w:rFonts w:ascii="Symbol" w:hAnsi="Symbol" w:hint="default"/>
      </w:rPr>
    </w:lvl>
    <w:lvl w:ilvl="1" w:tplc="140C0003" w:tentative="1">
      <w:start w:val="1"/>
      <w:numFmt w:val="bullet"/>
      <w:lvlText w:val="o"/>
      <w:lvlJc w:val="left"/>
      <w:pPr>
        <w:ind w:left="2007" w:hanging="360"/>
      </w:pPr>
      <w:rPr>
        <w:rFonts w:ascii="Courier New" w:hAnsi="Courier New" w:cs="Courier New" w:hint="default"/>
      </w:rPr>
    </w:lvl>
    <w:lvl w:ilvl="2" w:tplc="140C0005" w:tentative="1">
      <w:start w:val="1"/>
      <w:numFmt w:val="bullet"/>
      <w:lvlText w:val=""/>
      <w:lvlJc w:val="left"/>
      <w:pPr>
        <w:ind w:left="2727" w:hanging="360"/>
      </w:pPr>
      <w:rPr>
        <w:rFonts w:ascii="Wingdings" w:hAnsi="Wingdings" w:hint="default"/>
      </w:rPr>
    </w:lvl>
    <w:lvl w:ilvl="3" w:tplc="140C0001" w:tentative="1">
      <w:start w:val="1"/>
      <w:numFmt w:val="bullet"/>
      <w:lvlText w:val=""/>
      <w:lvlJc w:val="left"/>
      <w:pPr>
        <w:ind w:left="3447" w:hanging="360"/>
      </w:pPr>
      <w:rPr>
        <w:rFonts w:ascii="Symbol" w:hAnsi="Symbol" w:hint="default"/>
      </w:rPr>
    </w:lvl>
    <w:lvl w:ilvl="4" w:tplc="140C0003" w:tentative="1">
      <w:start w:val="1"/>
      <w:numFmt w:val="bullet"/>
      <w:lvlText w:val="o"/>
      <w:lvlJc w:val="left"/>
      <w:pPr>
        <w:ind w:left="4167" w:hanging="360"/>
      </w:pPr>
      <w:rPr>
        <w:rFonts w:ascii="Courier New" w:hAnsi="Courier New" w:cs="Courier New" w:hint="default"/>
      </w:rPr>
    </w:lvl>
    <w:lvl w:ilvl="5" w:tplc="140C0005" w:tentative="1">
      <w:start w:val="1"/>
      <w:numFmt w:val="bullet"/>
      <w:lvlText w:val=""/>
      <w:lvlJc w:val="left"/>
      <w:pPr>
        <w:ind w:left="4887" w:hanging="360"/>
      </w:pPr>
      <w:rPr>
        <w:rFonts w:ascii="Wingdings" w:hAnsi="Wingdings" w:hint="default"/>
      </w:rPr>
    </w:lvl>
    <w:lvl w:ilvl="6" w:tplc="140C0001" w:tentative="1">
      <w:start w:val="1"/>
      <w:numFmt w:val="bullet"/>
      <w:lvlText w:val=""/>
      <w:lvlJc w:val="left"/>
      <w:pPr>
        <w:ind w:left="5607" w:hanging="360"/>
      </w:pPr>
      <w:rPr>
        <w:rFonts w:ascii="Symbol" w:hAnsi="Symbol" w:hint="default"/>
      </w:rPr>
    </w:lvl>
    <w:lvl w:ilvl="7" w:tplc="140C0003" w:tentative="1">
      <w:start w:val="1"/>
      <w:numFmt w:val="bullet"/>
      <w:lvlText w:val="o"/>
      <w:lvlJc w:val="left"/>
      <w:pPr>
        <w:ind w:left="6327" w:hanging="360"/>
      </w:pPr>
      <w:rPr>
        <w:rFonts w:ascii="Courier New" w:hAnsi="Courier New" w:cs="Courier New" w:hint="default"/>
      </w:rPr>
    </w:lvl>
    <w:lvl w:ilvl="8" w:tplc="140C0005" w:tentative="1">
      <w:start w:val="1"/>
      <w:numFmt w:val="bullet"/>
      <w:lvlText w:val=""/>
      <w:lvlJc w:val="left"/>
      <w:pPr>
        <w:ind w:left="7047" w:hanging="360"/>
      </w:pPr>
      <w:rPr>
        <w:rFonts w:ascii="Wingdings" w:hAnsi="Wingdings" w:hint="default"/>
      </w:rPr>
    </w:lvl>
  </w:abstractNum>
  <w:abstractNum w:abstractNumId="6" w15:restartNumberingAfterBreak="0">
    <w:nsid w:val="7F0B0E2E"/>
    <w:multiLevelType w:val="hybridMultilevel"/>
    <w:tmpl w:val="54E0A284"/>
    <w:lvl w:ilvl="0" w:tplc="ACC0EC06">
      <w:start w:val="3"/>
      <w:numFmt w:val="bullet"/>
      <w:lvlText w:val="-"/>
      <w:lvlJc w:val="left"/>
      <w:pPr>
        <w:ind w:left="927" w:hanging="360"/>
      </w:pPr>
      <w:rPr>
        <w:rFonts w:ascii="Calibri" w:eastAsiaTheme="minorHAnsi" w:hAnsi="Calibri" w:cs="Calibri" w:hint="default"/>
      </w:rPr>
    </w:lvl>
    <w:lvl w:ilvl="1" w:tplc="140C0003" w:tentative="1">
      <w:start w:val="1"/>
      <w:numFmt w:val="bullet"/>
      <w:lvlText w:val="o"/>
      <w:lvlJc w:val="left"/>
      <w:pPr>
        <w:ind w:left="1647" w:hanging="360"/>
      </w:pPr>
      <w:rPr>
        <w:rFonts w:ascii="Courier New" w:hAnsi="Courier New" w:cs="Courier New" w:hint="default"/>
      </w:rPr>
    </w:lvl>
    <w:lvl w:ilvl="2" w:tplc="140C0005" w:tentative="1">
      <w:start w:val="1"/>
      <w:numFmt w:val="bullet"/>
      <w:lvlText w:val=""/>
      <w:lvlJc w:val="left"/>
      <w:pPr>
        <w:ind w:left="2367" w:hanging="360"/>
      </w:pPr>
      <w:rPr>
        <w:rFonts w:ascii="Wingdings" w:hAnsi="Wingdings" w:hint="default"/>
      </w:rPr>
    </w:lvl>
    <w:lvl w:ilvl="3" w:tplc="140C0001" w:tentative="1">
      <w:start w:val="1"/>
      <w:numFmt w:val="bullet"/>
      <w:lvlText w:val=""/>
      <w:lvlJc w:val="left"/>
      <w:pPr>
        <w:ind w:left="3087" w:hanging="360"/>
      </w:pPr>
      <w:rPr>
        <w:rFonts w:ascii="Symbol" w:hAnsi="Symbol" w:hint="default"/>
      </w:rPr>
    </w:lvl>
    <w:lvl w:ilvl="4" w:tplc="140C0003" w:tentative="1">
      <w:start w:val="1"/>
      <w:numFmt w:val="bullet"/>
      <w:lvlText w:val="o"/>
      <w:lvlJc w:val="left"/>
      <w:pPr>
        <w:ind w:left="3807" w:hanging="360"/>
      </w:pPr>
      <w:rPr>
        <w:rFonts w:ascii="Courier New" w:hAnsi="Courier New" w:cs="Courier New" w:hint="default"/>
      </w:rPr>
    </w:lvl>
    <w:lvl w:ilvl="5" w:tplc="140C0005" w:tentative="1">
      <w:start w:val="1"/>
      <w:numFmt w:val="bullet"/>
      <w:lvlText w:val=""/>
      <w:lvlJc w:val="left"/>
      <w:pPr>
        <w:ind w:left="4527" w:hanging="360"/>
      </w:pPr>
      <w:rPr>
        <w:rFonts w:ascii="Wingdings" w:hAnsi="Wingdings" w:hint="default"/>
      </w:rPr>
    </w:lvl>
    <w:lvl w:ilvl="6" w:tplc="140C0001" w:tentative="1">
      <w:start w:val="1"/>
      <w:numFmt w:val="bullet"/>
      <w:lvlText w:val=""/>
      <w:lvlJc w:val="left"/>
      <w:pPr>
        <w:ind w:left="5247" w:hanging="360"/>
      </w:pPr>
      <w:rPr>
        <w:rFonts w:ascii="Symbol" w:hAnsi="Symbol" w:hint="default"/>
      </w:rPr>
    </w:lvl>
    <w:lvl w:ilvl="7" w:tplc="140C0003" w:tentative="1">
      <w:start w:val="1"/>
      <w:numFmt w:val="bullet"/>
      <w:lvlText w:val="o"/>
      <w:lvlJc w:val="left"/>
      <w:pPr>
        <w:ind w:left="5967" w:hanging="360"/>
      </w:pPr>
      <w:rPr>
        <w:rFonts w:ascii="Courier New" w:hAnsi="Courier New" w:cs="Courier New" w:hint="default"/>
      </w:rPr>
    </w:lvl>
    <w:lvl w:ilvl="8" w:tplc="140C0005" w:tentative="1">
      <w:start w:val="1"/>
      <w:numFmt w:val="bullet"/>
      <w:lvlText w:val=""/>
      <w:lvlJc w:val="left"/>
      <w:pPr>
        <w:ind w:left="6687" w:hanging="360"/>
      </w:pPr>
      <w:rPr>
        <w:rFonts w:ascii="Wingdings" w:hAnsi="Wingdings" w:hint="default"/>
      </w:rPr>
    </w:lvl>
  </w:abstractNum>
  <w:num w:numId="1" w16cid:durableId="26416328">
    <w:abstractNumId w:val="4"/>
  </w:num>
  <w:num w:numId="2" w16cid:durableId="203442473">
    <w:abstractNumId w:val="0"/>
  </w:num>
  <w:num w:numId="3" w16cid:durableId="264118779">
    <w:abstractNumId w:val="3"/>
  </w:num>
  <w:num w:numId="4" w16cid:durableId="2027977962">
    <w:abstractNumId w:val="3"/>
  </w:num>
  <w:num w:numId="5" w16cid:durableId="2103911011">
    <w:abstractNumId w:val="3"/>
  </w:num>
  <w:num w:numId="6" w16cid:durableId="1089303491">
    <w:abstractNumId w:val="3"/>
  </w:num>
  <w:num w:numId="7" w16cid:durableId="666371899">
    <w:abstractNumId w:val="3"/>
  </w:num>
  <w:num w:numId="8" w16cid:durableId="922228286">
    <w:abstractNumId w:val="3"/>
  </w:num>
  <w:num w:numId="9" w16cid:durableId="1433085481">
    <w:abstractNumId w:val="3"/>
  </w:num>
  <w:num w:numId="10" w16cid:durableId="1728603680">
    <w:abstractNumId w:val="3"/>
  </w:num>
  <w:num w:numId="11" w16cid:durableId="1846825830">
    <w:abstractNumId w:val="1"/>
  </w:num>
  <w:num w:numId="12" w16cid:durableId="636180982">
    <w:abstractNumId w:val="2"/>
  </w:num>
  <w:num w:numId="13" w16cid:durableId="226453719">
    <w:abstractNumId w:val="2"/>
  </w:num>
  <w:num w:numId="14" w16cid:durableId="20204557">
    <w:abstractNumId w:val="2"/>
  </w:num>
  <w:num w:numId="15" w16cid:durableId="579290747">
    <w:abstractNumId w:val="2"/>
  </w:num>
  <w:num w:numId="16" w16cid:durableId="1440494134">
    <w:abstractNumId w:val="2"/>
  </w:num>
  <w:num w:numId="17" w16cid:durableId="330840981">
    <w:abstractNumId w:val="5"/>
  </w:num>
  <w:num w:numId="18" w16cid:durableId="1685015108">
    <w:abstractNumId w:val="6"/>
  </w:num>
  <w:num w:numId="19" w16cid:durableId="1270039992">
    <w:abstractNumId w:val="3"/>
  </w:num>
  <w:num w:numId="20" w16cid:durableId="1061251418">
    <w:abstractNumId w:val="3"/>
  </w:num>
  <w:num w:numId="21" w16cid:durableId="31613679">
    <w:abstractNumId w:val="3"/>
  </w:num>
  <w:num w:numId="22" w16cid:durableId="749234382">
    <w:abstractNumId w:val="3"/>
  </w:num>
  <w:num w:numId="23" w16cid:durableId="1689717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92"/>
    <w:rsid w:val="00082A49"/>
    <w:rsid w:val="001471AD"/>
    <w:rsid w:val="0054608B"/>
    <w:rsid w:val="00A058C1"/>
    <w:rsid w:val="00A6163A"/>
    <w:rsid w:val="00D13C2D"/>
    <w:rsid w:val="00D34892"/>
    <w:rsid w:val="00DF5021"/>
    <w:rsid w:val="00E31B4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45AA"/>
  <w15:chartTrackingRefBased/>
  <w15:docId w15:val="{1F34AF21-92EA-4805-B25A-D95B5B91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L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49"/>
    <w:pPr>
      <w:jc w:val="both"/>
    </w:pPr>
  </w:style>
  <w:style w:type="paragraph" w:styleId="Heading1">
    <w:name w:val="heading 1"/>
    <w:basedOn w:val="Normal"/>
    <w:next w:val="Normal"/>
    <w:link w:val="Heading1Char"/>
    <w:uiPriority w:val="9"/>
    <w:qFormat/>
    <w:rsid w:val="00D34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2A49"/>
    <w:pPr>
      <w:keepNext/>
      <w:keepLines/>
      <w:numPr>
        <w:numId w:val="3"/>
      </w:numPr>
      <w:spacing w:before="160" w:after="80"/>
      <w:ind w:left="567" w:hanging="567"/>
      <w:outlineLvl w:val="1"/>
    </w:pPr>
    <w:rPr>
      <w:rFonts w:ascii="Calibri" w:eastAsiaTheme="majorEastAsia" w:hAnsi="Calibri" w:cs="Calibri"/>
      <w:b/>
      <w:bCs/>
      <w:color w:val="0F4761" w:themeColor="accent1" w:themeShade="BF"/>
      <w:sz w:val="28"/>
      <w:szCs w:val="28"/>
    </w:rPr>
  </w:style>
  <w:style w:type="paragraph" w:styleId="Heading3">
    <w:name w:val="heading 3"/>
    <w:basedOn w:val="Normal"/>
    <w:next w:val="Normal"/>
    <w:link w:val="Heading3Char"/>
    <w:uiPriority w:val="9"/>
    <w:unhideWhenUsed/>
    <w:qFormat/>
    <w:rsid w:val="00082A49"/>
    <w:pPr>
      <w:keepNext/>
      <w:keepLines/>
      <w:numPr>
        <w:ilvl w:val="1"/>
        <w:numId w:val="12"/>
      </w:numPr>
      <w:spacing w:before="160" w:after="80"/>
      <w:ind w:left="1134" w:hanging="567"/>
      <w:outlineLvl w:val="2"/>
    </w:pPr>
    <w:rPr>
      <w:rFonts w:eastAsiaTheme="majorEastAsia" w:cstheme="majorBidi"/>
      <w:b/>
      <w:bCs/>
      <w:color w:val="4C94D8" w:themeColor="text2" w:themeTint="80"/>
      <w:sz w:val="28"/>
      <w:szCs w:val="28"/>
    </w:rPr>
  </w:style>
  <w:style w:type="paragraph" w:styleId="Heading4">
    <w:name w:val="heading 4"/>
    <w:basedOn w:val="Normal"/>
    <w:next w:val="Normal"/>
    <w:link w:val="Heading4Char"/>
    <w:uiPriority w:val="9"/>
    <w:semiHidden/>
    <w:unhideWhenUsed/>
    <w:qFormat/>
    <w:rsid w:val="00D34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8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8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8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8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2A49"/>
    <w:rPr>
      <w:rFonts w:ascii="Calibri" w:eastAsiaTheme="majorEastAsia" w:hAnsi="Calibri" w:cs="Calibri"/>
      <w:b/>
      <w:bCs/>
      <w:color w:val="0F4761" w:themeColor="accent1" w:themeShade="BF"/>
      <w:sz w:val="28"/>
      <w:szCs w:val="28"/>
    </w:rPr>
  </w:style>
  <w:style w:type="character" w:customStyle="1" w:styleId="Heading3Char">
    <w:name w:val="Heading 3 Char"/>
    <w:basedOn w:val="DefaultParagraphFont"/>
    <w:link w:val="Heading3"/>
    <w:uiPriority w:val="9"/>
    <w:rsid w:val="00082A49"/>
    <w:rPr>
      <w:rFonts w:eastAsiaTheme="majorEastAsia" w:cstheme="majorBidi"/>
      <w:b/>
      <w:bCs/>
      <w:color w:val="4C94D8" w:themeColor="text2" w:themeTint="80"/>
      <w:sz w:val="28"/>
      <w:szCs w:val="28"/>
    </w:rPr>
  </w:style>
  <w:style w:type="character" w:customStyle="1" w:styleId="Heading4Char">
    <w:name w:val="Heading 4 Char"/>
    <w:basedOn w:val="DefaultParagraphFont"/>
    <w:link w:val="Heading4"/>
    <w:uiPriority w:val="9"/>
    <w:semiHidden/>
    <w:rsid w:val="00D34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892"/>
    <w:rPr>
      <w:rFonts w:eastAsiaTheme="majorEastAsia" w:cstheme="majorBidi"/>
      <w:color w:val="272727" w:themeColor="text1" w:themeTint="D8"/>
    </w:rPr>
  </w:style>
  <w:style w:type="paragraph" w:styleId="Title">
    <w:name w:val="Title"/>
    <w:basedOn w:val="Normal"/>
    <w:next w:val="Normal"/>
    <w:link w:val="TitleChar"/>
    <w:uiPriority w:val="10"/>
    <w:qFormat/>
    <w:rsid w:val="00D34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892"/>
    <w:pPr>
      <w:spacing w:before="160"/>
      <w:jc w:val="center"/>
    </w:pPr>
    <w:rPr>
      <w:i/>
      <w:iCs/>
      <w:color w:val="404040" w:themeColor="text1" w:themeTint="BF"/>
    </w:rPr>
  </w:style>
  <w:style w:type="character" w:customStyle="1" w:styleId="QuoteChar">
    <w:name w:val="Quote Char"/>
    <w:basedOn w:val="DefaultParagraphFont"/>
    <w:link w:val="Quote"/>
    <w:uiPriority w:val="29"/>
    <w:rsid w:val="00D34892"/>
    <w:rPr>
      <w:i/>
      <w:iCs/>
      <w:color w:val="404040" w:themeColor="text1" w:themeTint="BF"/>
    </w:rPr>
  </w:style>
  <w:style w:type="paragraph" w:styleId="ListParagraph">
    <w:name w:val="List Paragraph"/>
    <w:basedOn w:val="Normal"/>
    <w:uiPriority w:val="34"/>
    <w:qFormat/>
    <w:rsid w:val="00D34892"/>
    <w:pPr>
      <w:ind w:left="720"/>
      <w:contextualSpacing/>
    </w:pPr>
  </w:style>
  <w:style w:type="character" w:styleId="IntenseEmphasis">
    <w:name w:val="Intense Emphasis"/>
    <w:basedOn w:val="DefaultParagraphFont"/>
    <w:uiPriority w:val="21"/>
    <w:qFormat/>
    <w:rsid w:val="00D34892"/>
    <w:rPr>
      <w:i/>
      <w:iCs/>
      <w:color w:val="0F4761" w:themeColor="accent1" w:themeShade="BF"/>
    </w:rPr>
  </w:style>
  <w:style w:type="paragraph" w:styleId="IntenseQuote">
    <w:name w:val="Intense Quote"/>
    <w:basedOn w:val="Normal"/>
    <w:next w:val="Normal"/>
    <w:link w:val="IntenseQuoteChar"/>
    <w:uiPriority w:val="30"/>
    <w:qFormat/>
    <w:rsid w:val="00D34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892"/>
    <w:rPr>
      <w:i/>
      <w:iCs/>
      <w:color w:val="0F4761" w:themeColor="accent1" w:themeShade="BF"/>
    </w:rPr>
  </w:style>
  <w:style w:type="character" w:styleId="IntenseReference">
    <w:name w:val="Intense Reference"/>
    <w:basedOn w:val="DefaultParagraphFont"/>
    <w:uiPriority w:val="32"/>
    <w:qFormat/>
    <w:rsid w:val="00D348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De Oliveira</dc:creator>
  <cp:keywords/>
  <dc:description/>
  <cp:lastModifiedBy>Laurent Krantz</cp:lastModifiedBy>
  <cp:revision>2</cp:revision>
  <dcterms:created xsi:type="dcterms:W3CDTF">2025-08-01T06:35:00Z</dcterms:created>
  <dcterms:modified xsi:type="dcterms:W3CDTF">2025-08-01T06:35:00Z</dcterms:modified>
</cp:coreProperties>
</file>