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D1031" w14:textId="601BA879" w:rsidR="00C42E02" w:rsidRDefault="00C42E02" w:rsidP="00616C6B">
      <w:pPr>
        <w:pStyle w:val="Heading1"/>
        <w:spacing w:before="240" w:after="240"/>
        <w:ind w:left="0"/>
        <w:jc w:val="both"/>
        <w:rPr>
          <w:rFonts w:asciiTheme="minorHAnsi" w:hAnsiTheme="minorHAnsi" w:cstheme="minorBidi"/>
          <w:w w:val="105"/>
          <w:sz w:val="22"/>
          <w:szCs w:val="22"/>
        </w:rPr>
      </w:pPr>
      <w:r w:rsidRPr="004B11FD">
        <w:rPr>
          <w:rFonts w:asciiTheme="minorHAnsi" w:hAnsiTheme="minorHAnsi" w:cstheme="minorBidi"/>
          <w:spacing w:val="-1"/>
          <w:w w:val="105"/>
          <w:sz w:val="22"/>
          <w:szCs w:val="22"/>
        </w:rPr>
        <w:t>Article</w:t>
      </w:r>
      <w:r w:rsidRPr="004B11FD">
        <w:rPr>
          <w:rFonts w:asciiTheme="minorHAnsi" w:hAnsiTheme="minorHAnsi" w:cstheme="minorBidi"/>
          <w:spacing w:val="-11"/>
          <w:w w:val="105"/>
          <w:sz w:val="22"/>
          <w:szCs w:val="22"/>
        </w:rPr>
        <w:t xml:space="preserve"> </w:t>
      </w:r>
      <w:r w:rsidRPr="004B11FD">
        <w:rPr>
          <w:rFonts w:asciiTheme="minorHAnsi" w:hAnsiTheme="minorHAnsi" w:cstheme="minorBidi"/>
          <w:spacing w:val="-1"/>
          <w:w w:val="105"/>
          <w:sz w:val="22"/>
          <w:szCs w:val="22"/>
        </w:rPr>
        <w:t>x.</w:t>
      </w:r>
      <w:r w:rsidRPr="004B11FD">
        <w:rPr>
          <w:rFonts w:asciiTheme="minorHAnsi" w:hAnsiTheme="minorHAnsi" w:cstheme="minorBidi"/>
          <w:w w:val="105"/>
          <w:sz w:val="22"/>
          <w:szCs w:val="22"/>
        </w:rPr>
        <w:t xml:space="preserve"> </w:t>
      </w:r>
      <w:r w:rsidRPr="004B11FD">
        <w:rPr>
          <w:rFonts w:asciiTheme="minorHAnsi" w:hAnsiTheme="minorHAnsi" w:cstheme="minorBidi"/>
          <w:spacing w:val="-1"/>
          <w:w w:val="105"/>
          <w:sz w:val="22"/>
          <w:szCs w:val="22"/>
        </w:rPr>
        <w:t>Réalisation</w:t>
      </w:r>
      <w:r w:rsidRPr="004B11FD">
        <w:rPr>
          <w:rFonts w:asciiTheme="minorHAnsi" w:hAnsiTheme="minorHAnsi" w:cstheme="minorBidi"/>
          <w:spacing w:val="-8"/>
          <w:w w:val="105"/>
          <w:sz w:val="22"/>
          <w:szCs w:val="22"/>
        </w:rPr>
        <w:t xml:space="preserve"> </w:t>
      </w:r>
      <w:r w:rsidRPr="004B11FD">
        <w:rPr>
          <w:rFonts w:asciiTheme="minorHAnsi" w:hAnsiTheme="minorHAnsi" w:cstheme="minorBidi"/>
          <w:w w:val="105"/>
          <w:sz w:val="22"/>
          <w:szCs w:val="22"/>
        </w:rPr>
        <w:t>de</w:t>
      </w:r>
      <w:r w:rsidR="00B10332">
        <w:rPr>
          <w:rFonts w:asciiTheme="minorHAnsi" w:hAnsiTheme="minorHAnsi" w:cstheme="minorBidi"/>
          <w:spacing w:val="-7"/>
          <w:w w:val="105"/>
          <w:sz w:val="22"/>
          <w:szCs w:val="22"/>
        </w:rPr>
        <w:t>s logement</w:t>
      </w:r>
      <w:r w:rsidR="00FF5A29">
        <w:rPr>
          <w:rFonts w:asciiTheme="minorHAnsi" w:hAnsiTheme="minorHAnsi" w:cstheme="minorBidi"/>
          <w:spacing w:val="-7"/>
          <w:w w:val="105"/>
          <w:sz w:val="22"/>
          <w:szCs w:val="22"/>
        </w:rPr>
        <w:t>s</w:t>
      </w:r>
      <w:r w:rsidR="00B10332">
        <w:rPr>
          <w:rFonts w:asciiTheme="minorHAnsi" w:hAnsiTheme="minorHAnsi" w:cstheme="minorBidi"/>
          <w:spacing w:val="-7"/>
          <w:w w:val="105"/>
          <w:sz w:val="22"/>
          <w:szCs w:val="22"/>
        </w:rPr>
        <w:t xml:space="preserve"> à coût modéré</w:t>
      </w:r>
      <w:r w:rsidR="006054DB">
        <w:rPr>
          <w:rFonts w:asciiTheme="minorHAnsi" w:hAnsiTheme="minorHAnsi" w:cstheme="minorBidi"/>
          <w:spacing w:val="-7"/>
          <w:w w:val="105"/>
          <w:sz w:val="22"/>
          <w:szCs w:val="22"/>
        </w:rPr>
        <w:t>, dits « logements abordables »</w:t>
      </w:r>
      <w:bookmarkStart w:id="0" w:name="_GoBack"/>
      <w:bookmarkEnd w:id="0"/>
    </w:p>
    <w:p w14:paraId="02171FD9" w14:textId="1A4FD7B9" w:rsidR="008549D9" w:rsidRPr="00616C6B" w:rsidRDefault="008549D9" w:rsidP="00616C6B">
      <w:pPr>
        <w:pStyle w:val="Heading1"/>
        <w:spacing w:before="240" w:after="240"/>
        <w:ind w:left="0"/>
        <w:jc w:val="both"/>
        <w:rPr>
          <w:rFonts w:asciiTheme="minorHAnsi" w:hAnsiTheme="minorHAnsi" w:cstheme="minorBidi"/>
          <w:sz w:val="22"/>
          <w:szCs w:val="22"/>
        </w:rPr>
      </w:pPr>
      <w:r w:rsidRPr="00576299">
        <w:rPr>
          <w:rFonts w:asciiTheme="minorHAnsi" w:hAnsiTheme="minorHAnsi" w:cstheme="minorBidi"/>
          <w:w w:val="105"/>
          <w:sz w:val="22"/>
          <w:szCs w:val="22"/>
          <w:highlight w:val="lightGray"/>
        </w:rPr>
        <w:t>[</w:t>
      </w:r>
      <w:proofErr w:type="gramStart"/>
      <w:r w:rsidRPr="00576299">
        <w:rPr>
          <w:rFonts w:asciiTheme="minorHAnsi" w:hAnsiTheme="minorHAnsi" w:cstheme="minorBidi"/>
          <w:w w:val="105"/>
          <w:sz w:val="22"/>
          <w:szCs w:val="22"/>
          <w:highlight w:val="lightGray"/>
        </w:rPr>
        <w:t>choisir</w:t>
      </w:r>
      <w:proofErr w:type="gramEnd"/>
      <w:r w:rsidRPr="00576299">
        <w:rPr>
          <w:rFonts w:asciiTheme="minorHAnsi" w:hAnsiTheme="minorHAnsi" w:cstheme="minorBidi"/>
          <w:w w:val="105"/>
          <w:sz w:val="22"/>
          <w:szCs w:val="22"/>
          <w:highlight w:val="lightGray"/>
        </w:rPr>
        <w:t xml:space="preserve"> l’hypothèse a. ou b. qui convient s’il s’agit d’un site PSL (b.) ou non (a.)]</w:t>
      </w:r>
    </w:p>
    <w:p w14:paraId="04F28C20" w14:textId="69C36179" w:rsidR="000C0159" w:rsidRDefault="008549D9">
      <w:pPr>
        <w:pStyle w:val="ListParagraph"/>
        <w:numPr>
          <w:ilvl w:val="0"/>
          <w:numId w:val="6"/>
        </w:numPr>
        <w:jc w:val="both"/>
        <w:rPr>
          <w:rFonts w:asciiTheme="minorHAnsi" w:hAnsiTheme="minorHAnsi" w:cstheme="minorBidi"/>
        </w:rPr>
      </w:pPr>
      <w:r>
        <w:rPr>
          <w:rFonts w:asciiTheme="minorHAnsi" w:hAnsiTheme="minorHAnsi" w:cstheme="minorBidi"/>
          <w:w w:val="105"/>
        </w:rPr>
        <w:t xml:space="preserve">a. </w:t>
      </w:r>
      <w:r w:rsidR="00C42E02" w:rsidRPr="004B11FD">
        <w:rPr>
          <w:rFonts w:asciiTheme="minorHAnsi" w:hAnsiTheme="minorHAnsi" w:cstheme="minorBidi"/>
          <w:w w:val="105"/>
        </w:rPr>
        <w:t>Conformément</w:t>
      </w:r>
      <w:r w:rsidR="00C42E02" w:rsidRPr="004B11FD">
        <w:rPr>
          <w:rFonts w:asciiTheme="minorHAnsi" w:hAnsiTheme="minorHAnsi" w:cstheme="minorBidi"/>
          <w:spacing w:val="1"/>
          <w:w w:val="105"/>
        </w:rPr>
        <w:t xml:space="preserve"> </w:t>
      </w:r>
      <w:r w:rsidR="00C42E02" w:rsidRPr="004B11FD">
        <w:rPr>
          <w:rFonts w:asciiTheme="minorHAnsi" w:hAnsiTheme="minorHAnsi" w:cstheme="minorBidi"/>
          <w:w w:val="105"/>
        </w:rPr>
        <w:t>à</w:t>
      </w:r>
      <w:r w:rsidR="00C42E02" w:rsidRPr="004B11FD">
        <w:rPr>
          <w:rFonts w:asciiTheme="minorHAnsi" w:hAnsiTheme="minorHAnsi" w:cstheme="minorBidi"/>
          <w:spacing w:val="1"/>
          <w:w w:val="105"/>
        </w:rPr>
        <w:t xml:space="preserve"> </w:t>
      </w:r>
      <w:r w:rsidR="00C42E02" w:rsidRPr="004B11FD">
        <w:rPr>
          <w:rFonts w:asciiTheme="minorHAnsi" w:hAnsiTheme="minorHAnsi" w:cstheme="minorBidi"/>
          <w:w w:val="105"/>
        </w:rPr>
        <w:t>l’article</w:t>
      </w:r>
      <w:r w:rsidR="00D21FED" w:rsidRPr="004B11FD">
        <w:rPr>
          <w:rFonts w:asciiTheme="minorHAnsi" w:hAnsiTheme="minorHAnsi" w:cstheme="minorBidi"/>
          <w:w w:val="105"/>
        </w:rPr>
        <w:t xml:space="preserve"> 29, paragraphe 2, alinéa 4</w:t>
      </w:r>
      <w:r w:rsidR="000C0159">
        <w:rPr>
          <w:rFonts w:asciiTheme="minorHAnsi" w:hAnsiTheme="minorHAnsi" w:cstheme="minorBidi"/>
          <w:w w:val="105"/>
        </w:rPr>
        <w:t>,</w:t>
      </w:r>
      <w:r w:rsidR="00D21FED" w:rsidRPr="004B11FD">
        <w:rPr>
          <w:rFonts w:asciiTheme="minorHAnsi" w:hAnsiTheme="minorHAnsi" w:cstheme="minorBidi"/>
          <w:w w:val="105"/>
        </w:rPr>
        <w:t xml:space="preserve"> de la loi </w:t>
      </w:r>
      <w:r w:rsidR="001141EC">
        <w:rPr>
          <w:rFonts w:asciiTheme="minorHAnsi" w:hAnsiTheme="minorHAnsi" w:cstheme="minorBidi"/>
          <w:w w:val="105"/>
        </w:rPr>
        <w:t xml:space="preserve">modifiée </w:t>
      </w:r>
      <w:r w:rsidR="00D21FED" w:rsidRPr="004B11FD">
        <w:rPr>
          <w:rFonts w:asciiTheme="minorHAnsi" w:hAnsiTheme="minorHAnsi" w:cstheme="minorBidi"/>
          <w:w w:val="105"/>
        </w:rPr>
        <w:t>du 19 juillet 2004 concernant l’aménagement communal et le développement urbain</w:t>
      </w:r>
      <w:r w:rsidR="000C0159">
        <w:rPr>
          <w:rFonts w:asciiTheme="minorHAnsi" w:hAnsiTheme="minorHAnsi" w:cstheme="minorBidi"/>
          <w:w w:val="105"/>
        </w:rPr>
        <w:t xml:space="preserve">, </w:t>
      </w:r>
      <w:r w:rsidR="000C0159" w:rsidRPr="00335DAC">
        <w:rPr>
          <w:rFonts w:asciiTheme="minorHAnsi" w:hAnsiTheme="minorHAnsi" w:cstheme="minorBidi"/>
        </w:rPr>
        <w:t xml:space="preserve">le pourcentage total à consacrer à la réalisation de logements abordables s’élève à </w:t>
      </w:r>
      <w:r w:rsidR="000C0159" w:rsidRPr="000C0159">
        <w:rPr>
          <w:rFonts w:asciiTheme="minorHAnsi" w:hAnsiTheme="minorHAnsi" w:cstheme="minorBidi"/>
          <w:shd w:val="clear" w:color="auto" w:fill="BFBFBF" w:themeFill="background1" w:themeFillShade="BF"/>
        </w:rPr>
        <w:t>…</w:t>
      </w:r>
      <w:r w:rsidR="000C0159">
        <w:rPr>
          <w:rFonts w:asciiTheme="minorHAnsi" w:hAnsiTheme="minorHAnsi" w:cstheme="minorBidi"/>
        </w:rPr>
        <w:t xml:space="preserve"> </w:t>
      </w:r>
      <w:r w:rsidR="000C0159" w:rsidRPr="00335DAC">
        <w:rPr>
          <w:rFonts w:asciiTheme="minorHAnsi" w:hAnsiTheme="minorHAnsi" w:cstheme="minorBidi"/>
        </w:rPr>
        <w:t xml:space="preserve">% de la surface construite brute totale (ci-après la « SCB ») dédiée au logement, ce qui équivaut en l’espèce à </w:t>
      </w:r>
      <w:r w:rsidR="000C0159" w:rsidRPr="000C0159">
        <w:rPr>
          <w:rFonts w:asciiTheme="minorHAnsi" w:hAnsiTheme="minorHAnsi" w:cstheme="minorBidi"/>
          <w:shd w:val="clear" w:color="auto" w:fill="BFBFBF" w:themeFill="background1" w:themeFillShade="BF"/>
        </w:rPr>
        <w:t>…</w:t>
      </w:r>
      <w:r w:rsidR="000C0159" w:rsidRPr="000C0159">
        <w:rPr>
          <w:rFonts w:asciiTheme="minorHAnsi" w:hAnsiTheme="minorHAnsi" w:cstheme="minorBidi"/>
        </w:rPr>
        <w:t xml:space="preserve"> </w:t>
      </w:r>
      <w:r w:rsidR="000C0159" w:rsidRPr="00335DAC">
        <w:rPr>
          <w:rFonts w:asciiTheme="minorHAnsi" w:hAnsiTheme="minorHAnsi" w:cstheme="minorBidi"/>
        </w:rPr>
        <w:t xml:space="preserve">m² de SCB, étant donné qu’une SCB totale de </w:t>
      </w:r>
      <w:r w:rsidR="000C0159" w:rsidRPr="000C0159">
        <w:rPr>
          <w:rFonts w:asciiTheme="minorHAnsi" w:hAnsiTheme="minorHAnsi" w:cstheme="minorBidi"/>
          <w:shd w:val="clear" w:color="auto" w:fill="BFBFBF" w:themeFill="background1" w:themeFillShade="BF"/>
        </w:rPr>
        <w:t>…</w:t>
      </w:r>
      <w:r w:rsidR="000C0159" w:rsidRPr="00335DAC">
        <w:rPr>
          <w:rFonts w:asciiTheme="minorHAnsi" w:hAnsiTheme="minorHAnsi" w:cstheme="minorBidi"/>
        </w:rPr>
        <w:t xml:space="preserve"> m² est dédiée au logement sur l’ensemble du PAP.</w:t>
      </w:r>
    </w:p>
    <w:p w14:paraId="12700063" w14:textId="77777777" w:rsidR="000C0159" w:rsidRPr="000C0159" w:rsidRDefault="000C0159" w:rsidP="000C0159">
      <w:pPr>
        <w:jc w:val="both"/>
        <w:rPr>
          <w:rFonts w:asciiTheme="minorHAnsi" w:hAnsiTheme="minorHAnsi" w:cstheme="minorBidi"/>
        </w:rPr>
      </w:pPr>
    </w:p>
    <w:p w14:paraId="7932B9B9" w14:textId="59632006" w:rsidR="00E707BD" w:rsidRDefault="008549D9" w:rsidP="000C0159">
      <w:pPr>
        <w:pStyle w:val="ListParagraph"/>
        <w:jc w:val="both"/>
        <w:rPr>
          <w:rFonts w:asciiTheme="minorHAnsi" w:hAnsiTheme="minorHAnsi" w:cstheme="minorBidi"/>
        </w:rPr>
      </w:pPr>
      <w:r>
        <w:rPr>
          <w:rFonts w:asciiTheme="minorHAnsi" w:hAnsiTheme="minorHAnsi" w:cstheme="minorBidi"/>
        </w:rPr>
        <w:t xml:space="preserve">b. </w:t>
      </w:r>
      <w:r w:rsidR="000C0159">
        <w:rPr>
          <w:rFonts w:asciiTheme="minorHAnsi" w:hAnsiTheme="minorHAnsi" w:cstheme="minorBidi"/>
        </w:rPr>
        <w:t xml:space="preserve">Conformément à l’application combinée de </w:t>
      </w:r>
      <w:r w:rsidR="000C0159" w:rsidRPr="004B11FD">
        <w:rPr>
          <w:rFonts w:asciiTheme="minorHAnsi" w:hAnsiTheme="minorHAnsi" w:cstheme="minorBidi"/>
          <w:w w:val="105"/>
        </w:rPr>
        <w:t>l’article 29, paragraphe 2, alinéa 4</w:t>
      </w:r>
      <w:r w:rsidR="000C0159">
        <w:rPr>
          <w:rFonts w:asciiTheme="minorHAnsi" w:hAnsiTheme="minorHAnsi" w:cstheme="minorBidi"/>
          <w:w w:val="105"/>
        </w:rPr>
        <w:t>,</w:t>
      </w:r>
      <w:r w:rsidR="000C0159" w:rsidRPr="004B11FD">
        <w:rPr>
          <w:rFonts w:asciiTheme="minorHAnsi" w:hAnsiTheme="minorHAnsi" w:cstheme="minorBidi"/>
          <w:w w:val="105"/>
        </w:rPr>
        <w:t xml:space="preserve"> de la loi </w:t>
      </w:r>
      <w:r w:rsidR="000C0159">
        <w:rPr>
          <w:rFonts w:asciiTheme="minorHAnsi" w:hAnsiTheme="minorHAnsi" w:cstheme="minorBidi"/>
          <w:w w:val="105"/>
        </w:rPr>
        <w:t xml:space="preserve">modifiée </w:t>
      </w:r>
      <w:r w:rsidR="000C0159" w:rsidRPr="004B11FD">
        <w:rPr>
          <w:rFonts w:asciiTheme="minorHAnsi" w:hAnsiTheme="minorHAnsi" w:cstheme="minorBidi"/>
          <w:w w:val="105"/>
        </w:rPr>
        <w:t>du 19 juillet 2004 concernant l’aménagement communal et le développement urbain</w:t>
      </w:r>
      <w:r w:rsidR="000C0159">
        <w:rPr>
          <w:rFonts w:asciiTheme="minorHAnsi" w:hAnsiTheme="minorHAnsi" w:cstheme="minorBidi"/>
          <w:w w:val="105"/>
        </w:rPr>
        <w:t xml:space="preserve"> et de </w:t>
      </w:r>
      <w:r w:rsidR="00D21FED" w:rsidRPr="000C0159">
        <w:rPr>
          <w:rFonts w:asciiTheme="minorHAnsi" w:hAnsiTheme="minorHAnsi" w:cstheme="minorBidi"/>
          <w:w w:val="105"/>
        </w:rPr>
        <w:t>l’article</w:t>
      </w:r>
      <w:r w:rsidR="00C42E02" w:rsidRPr="000C0159">
        <w:rPr>
          <w:rFonts w:asciiTheme="minorHAnsi" w:hAnsiTheme="minorHAnsi" w:cstheme="minorBidi"/>
          <w:spacing w:val="1"/>
          <w:w w:val="105"/>
        </w:rPr>
        <w:t xml:space="preserve"> </w:t>
      </w:r>
      <w:r w:rsidR="008F4DA0" w:rsidRPr="000C0159">
        <w:rPr>
          <w:rFonts w:asciiTheme="minorHAnsi" w:hAnsiTheme="minorHAnsi" w:cstheme="minorBidi"/>
          <w:w w:val="105"/>
        </w:rPr>
        <w:t>11</w:t>
      </w:r>
      <w:r w:rsidR="007747A1" w:rsidRPr="000C0159">
        <w:rPr>
          <w:rFonts w:asciiTheme="minorHAnsi" w:hAnsiTheme="minorHAnsi" w:cstheme="minorBidi"/>
          <w:w w:val="105"/>
        </w:rPr>
        <w:t>,</w:t>
      </w:r>
      <w:r w:rsidR="00C42E02" w:rsidRPr="000C0159">
        <w:rPr>
          <w:rFonts w:asciiTheme="minorHAnsi" w:hAnsiTheme="minorHAnsi" w:cstheme="minorBidi"/>
          <w:spacing w:val="1"/>
          <w:w w:val="105"/>
        </w:rPr>
        <w:t xml:space="preserve"> </w:t>
      </w:r>
      <w:r w:rsidR="00C42E02" w:rsidRPr="000C0159">
        <w:rPr>
          <w:rFonts w:asciiTheme="minorHAnsi" w:hAnsiTheme="minorHAnsi" w:cstheme="minorBidi"/>
          <w:w w:val="105"/>
        </w:rPr>
        <w:t>paragraphe</w:t>
      </w:r>
      <w:r w:rsidR="00C42E02" w:rsidRPr="000C0159">
        <w:rPr>
          <w:rFonts w:asciiTheme="minorHAnsi" w:hAnsiTheme="minorHAnsi" w:cstheme="minorBidi"/>
          <w:spacing w:val="-7"/>
          <w:w w:val="105"/>
        </w:rPr>
        <w:t xml:space="preserve"> </w:t>
      </w:r>
      <w:r w:rsidR="00C42E02" w:rsidRPr="000C0159">
        <w:rPr>
          <w:rFonts w:asciiTheme="minorHAnsi" w:hAnsiTheme="minorHAnsi" w:cstheme="minorBidi"/>
          <w:w w:val="105"/>
        </w:rPr>
        <w:t>2,</w:t>
      </w:r>
      <w:r w:rsidR="00C42E02" w:rsidRPr="000C0159">
        <w:rPr>
          <w:rFonts w:asciiTheme="minorHAnsi" w:hAnsiTheme="minorHAnsi" w:cstheme="minorBidi"/>
          <w:spacing w:val="-7"/>
          <w:w w:val="105"/>
        </w:rPr>
        <w:t xml:space="preserve"> </w:t>
      </w:r>
      <w:r w:rsidR="008F4DA0" w:rsidRPr="000C0159">
        <w:rPr>
          <w:rFonts w:asciiTheme="minorHAnsi" w:hAnsiTheme="minorHAnsi" w:cstheme="minorBidi"/>
          <w:w w:val="105"/>
        </w:rPr>
        <w:t>point 9°</w:t>
      </w:r>
      <w:r w:rsidR="000C0159" w:rsidRPr="000C0159">
        <w:rPr>
          <w:rFonts w:asciiTheme="minorHAnsi" w:hAnsiTheme="minorHAnsi" w:cstheme="minorBidi"/>
          <w:w w:val="105"/>
        </w:rPr>
        <w:t>,</w:t>
      </w:r>
      <w:r w:rsidR="008F4DA0" w:rsidRPr="000C0159">
        <w:rPr>
          <w:rFonts w:asciiTheme="minorHAnsi" w:hAnsiTheme="minorHAnsi" w:cstheme="minorBidi"/>
          <w:w w:val="105"/>
        </w:rPr>
        <w:t xml:space="preserve"> a)</w:t>
      </w:r>
      <w:r w:rsidR="000C0159" w:rsidRPr="000C0159">
        <w:rPr>
          <w:rFonts w:asciiTheme="minorHAnsi" w:hAnsiTheme="minorHAnsi" w:cstheme="minorBidi"/>
          <w:w w:val="105"/>
        </w:rPr>
        <w:t>,</w:t>
      </w:r>
      <w:r w:rsidR="00C42E02" w:rsidRPr="000C0159">
        <w:rPr>
          <w:rFonts w:asciiTheme="minorHAnsi" w:hAnsiTheme="minorHAnsi" w:cstheme="minorBidi"/>
          <w:spacing w:val="-5"/>
          <w:w w:val="105"/>
        </w:rPr>
        <w:t xml:space="preserve"> </w:t>
      </w:r>
      <w:r w:rsidR="00C42E02" w:rsidRPr="000C0159">
        <w:rPr>
          <w:rFonts w:asciiTheme="minorHAnsi" w:hAnsiTheme="minorHAnsi" w:cstheme="minorBidi"/>
          <w:w w:val="105"/>
        </w:rPr>
        <w:t>de</w:t>
      </w:r>
      <w:r w:rsidR="00C42E02" w:rsidRPr="000C0159">
        <w:rPr>
          <w:rFonts w:asciiTheme="minorHAnsi" w:hAnsiTheme="minorHAnsi" w:cstheme="minorBidi"/>
          <w:spacing w:val="-6"/>
          <w:w w:val="105"/>
        </w:rPr>
        <w:t xml:space="preserve"> </w:t>
      </w:r>
      <w:r w:rsidR="00C42E02" w:rsidRPr="000C0159">
        <w:rPr>
          <w:rFonts w:asciiTheme="minorHAnsi" w:hAnsiTheme="minorHAnsi" w:cstheme="minorBidi"/>
          <w:w w:val="105"/>
        </w:rPr>
        <w:t>la</w:t>
      </w:r>
      <w:r w:rsidR="00C42E02" w:rsidRPr="000C0159">
        <w:rPr>
          <w:rFonts w:asciiTheme="minorHAnsi" w:hAnsiTheme="minorHAnsi" w:cstheme="minorBidi"/>
          <w:spacing w:val="-7"/>
          <w:w w:val="105"/>
        </w:rPr>
        <w:t xml:space="preserve"> </w:t>
      </w:r>
      <w:r w:rsidR="00C0332C" w:rsidRPr="000C0159">
        <w:rPr>
          <w:rFonts w:asciiTheme="minorHAnsi" w:hAnsiTheme="minorHAnsi" w:cstheme="minorBidi"/>
          <w:spacing w:val="-7"/>
          <w:w w:val="105"/>
        </w:rPr>
        <w:t>l</w:t>
      </w:r>
      <w:r w:rsidR="008F4DA0" w:rsidRPr="000C0159">
        <w:rPr>
          <w:rFonts w:asciiTheme="minorHAnsi" w:hAnsiTheme="minorHAnsi" w:cstheme="minorBidi"/>
          <w:spacing w:val="-7"/>
          <w:w w:val="105"/>
        </w:rPr>
        <w:t>oi modifiée</w:t>
      </w:r>
      <w:r w:rsidR="008F4DA0" w:rsidRPr="000C0159">
        <w:rPr>
          <w:rFonts w:asciiTheme="minorHAnsi" w:hAnsiTheme="minorHAnsi" w:cstheme="minorBidi"/>
          <w:w w:val="105"/>
        </w:rPr>
        <w:t xml:space="preserve"> du 17 avril 2018 concernant l’aménagement du territoire</w:t>
      </w:r>
      <w:r w:rsidR="0052207E" w:rsidRPr="000C0159">
        <w:rPr>
          <w:rFonts w:asciiTheme="minorHAnsi" w:hAnsiTheme="minorHAnsi" w:cstheme="minorBidi"/>
          <w:w w:val="105"/>
        </w:rPr>
        <w:t>,</w:t>
      </w:r>
      <w:r w:rsidR="00EC172E" w:rsidRPr="000C0159">
        <w:rPr>
          <w:rFonts w:asciiTheme="minorHAnsi" w:hAnsiTheme="minorHAnsi" w:cstheme="minorBidi"/>
          <w:w w:val="105"/>
        </w:rPr>
        <w:t xml:space="preserve"> </w:t>
      </w:r>
      <w:r w:rsidR="00EC172E" w:rsidRPr="000C0159">
        <w:rPr>
          <w:rFonts w:asciiTheme="minorHAnsi" w:hAnsiTheme="minorHAnsi" w:cstheme="minorBidi"/>
        </w:rPr>
        <w:t>l</w:t>
      </w:r>
      <w:r w:rsidR="00C42E02" w:rsidRPr="000C0159">
        <w:rPr>
          <w:rFonts w:asciiTheme="minorHAnsi" w:hAnsiTheme="minorHAnsi" w:cstheme="minorBidi"/>
        </w:rPr>
        <w:t xml:space="preserve">e pourcentage total à consacrer à la réalisation de logements abordables s’élève à </w:t>
      </w:r>
      <w:r w:rsidR="00D17574" w:rsidRPr="00D17574">
        <w:rPr>
          <w:rFonts w:asciiTheme="minorHAnsi" w:hAnsiTheme="minorHAnsi" w:cstheme="minorBidi"/>
          <w:shd w:val="clear" w:color="auto" w:fill="BFBFBF" w:themeFill="background1" w:themeFillShade="BF"/>
        </w:rPr>
        <w:t>…</w:t>
      </w:r>
      <w:r w:rsidR="00D17574">
        <w:rPr>
          <w:rFonts w:asciiTheme="minorHAnsi" w:hAnsiTheme="minorHAnsi" w:cstheme="minorBidi"/>
        </w:rPr>
        <w:t xml:space="preserve"> </w:t>
      </w:r>
      <w:r w:rsidR="00C42E02" w:rsidRPr="000C0159">
        <w:rPr>
          <w:rFonts w:asciiTheme="minorHAnsi" w:hAnsiTheme="minorHAnsi" w:cstheme="minorBidi"/>
        </w:rPr>
        <w:t xml:space="preserve">% de la surface construite brute totale (ci-après </w:t>
      </w:r>
      <w:r w:rsidR="00EC172E" w:rsidRPr="000C0159">
        <w:rPr>
          <w:rFonts w:asciiTheme="minorHAnsi" w:hAnsiTheme="minorHAnsi" w:cstheme="minorBidi"/>
        </w:rPr>
        <w:t xml:space="preserve">la </w:t>
      </w:r>
      <w:r w:rsidR="00C42E02" w:rsidRPr="000C0159">
        <w:rPr>
          <w:rFonts w:asciiTheme="minorHAnsi" w:hAnsiTheme="minorHAnsi" w:cstheme="minorBidi"/>
        </w:rPr>
        <w:t>« SCB ») dédiée au logement</w:t>
      </w:r>
      <w:r w:rsidR="00EC172E" w:rsidRPr="000C0159">
        <w:rPr>
          <w:rFonts w:asciiTheme="minorHAnsi" w:hAnsiTheme="minorHAnsi" w:cstheme="minorBidi"/>
        </w:rPr>
        <w:t xml:space="preserve">, </w:t>
      </w:r>
      <w:r w:rsidR="000C0159" w:rsidRPr="00335DAC">
        <w:rPr>
          <w:rFonts w:asciiTheme="minorHAnsi" w:hAnsiTheme="minorHAnsi" w:cstheme="minorBidi"/>
        </w:rPr>
        <w:t xml:space="preserve">ce qui équivaut en l’espèce à </w:t>
      </w:r>
      <w:r w:rsidR="000C0159" w:rsidRPr="000C0159">
        <w:rPr>
          <w:rFonts w:asciiTheme="minorHAnsi" w:hAnsiTheme="minorHAnsi" w:cstheme="minorBidi"/>
          <w:shd w:val="clear" w:color="auto" w:fill="BFBFBF" w:themeFill="background1" w:themeFillShade="BF"/>
        </w:rPr>
        <w:t>…</w:t>
      </w:r>
      <w:r w:rsidR="000C0159" w:rsidRPr="000C0159">
        <w:rPr>
          <w:rFonts w:asciiTheme="minorHAnsi" w:hAnsiTheme="minorHAnsi" w:cstheme="minorBidi"/>
        </w:rPr>
        <w:t xml:space="preserve"> </w:t>
      </w:r>
      <w:r w:rsidR="000C0159" w:rsidRPr="00335DAC">
        <w:rPr>
          <w:rFonts w:asciiTheme="minorHAnsi" w:hAnsiTheme="minorHAnsi" w:cstheme="minorBidi"/>
        </w:rPr>
        <w:t xml:space="preserve">m² de SCB, étant donné qu’une SCB totale de </w:t>
      </w:r>
      <w:r w:rsidR="000C0159" w:rsidRPr="000C0159">
        <w:rPr>
          <w:rFonts w:asciiTheme="minorHAnsi" w:hAnsiTheme="minorHAnsi" w:cstheme="minorBidi"/>
          <w:shd w:val="clear" w:color="auto" w:fill="BFBFBF" w:themeFill="background1" w:themeFillShade="BF"/>
        </w:rPr>
        <w:t>…</w:t>
      </w:r>
      <w:r w:rsidR="000C0159" w:rsidRPr="00335DAC">
        <w:rPr>
          <w:rFonts w:asciiTheme="minorHAnsi" w:hAnsiTheme="minorHAnsi" w:cstheme="minorBidi"/>
        </w:rPr>
        <w:t xml:space="preserve"> m² est dédiée au logement sur l’ensemble du PAP.</w:t>
      </w:r>
    </w:p>
    <w:p w14:paraId="4AD06E7B" w14:textId="77777777" w:rsidR="008549D9" w:rsidRPr="000C0159" w:rsidRDefault="008549D9" w:rsidP="000C0159">
      <w:pPr>
        <w:pStyle w:val="ListParagraph"/>
        <w:jc w:val="both"/>
        <w:rPr>
          <w:rFonts w:asciiTheme="minorHAnsi" w:hAnsiTheme="minorHAnsi" w:cstheme="minorBidi"/>
        </w:rPr>
      </w:pPr>
    </w:p>
    <w:p w14:paraId="32DCE02E" w14:textId="0380681F" w:rsidR="00C42E02" w:rsidRPr="00940A4E" w:rsidRDefault="00C42E02" w:rsidP="00C42E02">
      <w:pPr>
        <w:jc w:val="both"/>
        <w:rPr>
          <w:rFonts w:asciiTheme="minorHAnsi" w:hAnsiTheme="minorHAnsi" w:cstheme="minorHAnsi"/>
        </w:rPr>
      </w:pPr>
    </w:p>
    <w:p w14:paraId="72227BB1" w14:textId="7863A5FA" w:rsidR="00CC3ADC" w:rsidRPr="00576299" w:rsidRDefault="00C42E02" w:rsidP="00576299">
      <w:pPr>
        <w:pStyle w:val="ListParagraph"/>
        <w:numPr>
          <w:ilvl w:val="0"/>
          <w:numId w:val="6"/>
        </w:numPr>
        <w:jc w:val="both"/>
        <w:rPr>
          <w:rFonts w:asciiTheme="minorHAnsi" w:hAnsiTheme="minorHAnsi" w:cstheme="minorBidi"/>
        </w:rPr>
      </w:pPr>
      <w:r w:rsidRPr="00576299">
        <w:rPr>
          <w:rFonts w:asciiTheme="minorHAnsi" w:hAnsiTheme="minorHAnsi" w:cstheme="minorBidi"/>
        </w:rPr>
        <w:t xml:space="preserve">Les surfaces utiles d’habitation </w:t>
      </w:r>
      <w:r w:rsidR="000B6828" w:rsidRPr="00576299">
        <w:rPr>
          <w:rFonts w:asciiTheme="minorHAnsi" w:hAnsiTheme="minorHAnsi" w:cstheme="minorBidi"/>
        </w:rPr>
        <w:t xml:space="preserve">(ci-après les « SUH ») </w:t>
      </w:r>
      <w:r w:rsidRPr="00576299">
        <w:rPr>
          <w:rFonts w:asciiTheme="minorHAnsi" w:hAnsiTheme="minorHAnsi" w:cstheme="minorBidi"/>
        </w:rPr>
        <w:t xml:space="preserve">telles que définies dans le </w:t>
      </w:r>
      <w:r w:rsidRPr="00576299">
        <w:rPr>
          <w:rFonts w:asciiTheme="minorHAnsi" w:hAnsiTheme="minorHAnsi" w:cstheme="minorBidi"/>
          <w:i/>
          <w:iCs/>
        </w:rPr>
        <w:t xml:space="preserve">Cahier des </w:t>
      </w:r>
      <w:r w:rsidR="0052207E" w:rsidRPr="00576299">
        <w:rPr>
          <w:rFonts w:asciiTheme="minorHAnsi" w:hAnsiTheme="minorHAnsi" w:cstheme="minorBidi"/>
          <w:i/>
          <w:iCs/>
        </w:rPr>
        <w:t>c</w:t>
      </w:r>
      <w:r w:rsidRPr="00576299">
        <w:rPr>
          <w:rFonts w:asciiTheme="minorHAnsi" w:hAnsiTheme="minorHAnsi" w:cstheme="minorBidi"/>
          <w:i/>
          <w:iCs/>
        </w:rPr>
        <w:t xml:space="preserve">harges </w:t>
      </w:r>
      <w:r w:rsidR="0052207E" w:rsidRPr="00576299">
        <w:rPr>
          <w:rFonts w:asciiTheme="minorHAnsi" w:hAnsiTheme="minorHAnsi" w:cstheme="minorBidi"/>
          <w:i/>
          <w:iCs/>
        </w:rPr>
        <w:t>pour le développement de logements abordables</w:t>
      </w:r>
      <w:r w:rsidR="0052207E" w:rsidRPr="00576299">
        <w:rPr>
          <w:rFonts w:asciiTheme="minorHAnsi" w:hAnsiTheme="minorHAnsi" w:cstheme="minorBidi"/>
        </w:rPr>
        <w:t xml:space="preserve"> </w:t>
      </w:r>
      <w:r w:rsidR="00DE1CAA" w:rsidRPr="00576299">
        <w:rPr>
          <w:rFonts w:asciiTheme="minorHAnsi" w:hAnsiTheme="minorHAnsi" w:cstheme="minorBidi"/>
        </w:rPr>
        <w:t>doivent correspondre</w:t>
      </w:r>
      <w:r w:rsidR="00CC3ADC" w:rsidRPr="00576299">
        <w:rPr>
          <w:rFonts w:asciiTheme="minorHAnsi" w:hAnsiTheme="minorHAnsi" w:cstheme="minorBidi"/>
        </w:rPr>
        <w:t xml:space="preserve"> à </w:t>
      </w:r>
      <w:r w:rsidR="00DE1CAA" w:rsidRPr="00576299">
        <w:rPr>
          <w:rFonts w:asciiTheme="minorHAnsi" w:hAnsiTheme="minorHAnsi" w:cstheme="minorBidi"/>
        </w:rPr>
        <w:t xml:space="preserve">au moins </w:t>
      </w:r>
      <w:r w:rsidR="00CC3ADC" w:rsidRPr="00576299">
        <w:rPr>
          <w:rFonts w:asciiTheme="minorHAnsi" w:hAnsiTheme="minorHAnsi" w:cstheme="minorBidi"/>
        </w:rPr>
        <w:t xml:space="preserve">75 % des surfaces construite brutes pour les </w:t>
      </w:r>
      <w:r w:rsidR="008549D9">
        <w:rPr>
          <w:rFonts w:asciiTheme="minorHAnsi" w:hAnsiTheme="minorHAnsi" w:cstheme="minorBidi"/>
        </w:rPr>
        <w:t>logements</w:t>
      </w:r>
      <w:r w:rsidR="00DE1CAA" w:rsidRPr="00576299">
        <w:rPr>
          <w:rFonts w:asciiTheme="minorHAnsi" w:hAnsiTheme="minorHAnsi" w:cstheme="minorBidi"/>
        </w:rPr>
        <w:t>.</w:t>
      </w:r>
    </w:p>
    <w:p w14:paraId="3E90DCC9" w14:textId="77777777" w:rsidR="00DE1CAA" w:rsidRPr="00940A4E" w:rsidRDefault="00DE1CAA" w:rsidP="00C42E02">
      <w:pPr>
        <w:jc w:val="both"/>
        <w:rPr>
          <w:rFonts w:asciiTheme="minorHAnsi" w:hAnsiTheme="minorHAnsi" w:cstheme="minorHAnsi"/>
        </w:rPr>
      </w:pPr>
    </w:p>
    <w:p w14:paraId="2FF035F4" w14:textId="3CDE6235" w:rsidR="00CC3ADC" w:rsidRPr="00616C6B" w:rsidRDefault="00CC3ADC" w:rsidP="00576299">
      <w:pPr>
        <w:adjustRightInd w:val="0"/>
        <w:spacing w:line="240" w:lineRule="atLeast"/>
        <w:ind w:left="720"/>
        <w:jc w:val="both"/>
        <w:rPr>
          <w:rFonts w:asciiTheme="minorHAnsi" w:hAnsiTheme="minorHAnsi" w:cstheme="minorBidi"/>
          <w:w w:val="105"/>
        </w:rPr>
      </w:pPr>
      <w:r w:rsidRPr="004B11FD">
        <w:rPr>
          <w:rFonts w:asciiTheme="minorHAnsi" w:hAnsiTheme="minorHAnsi" w:cstheme="minorBidi"/>
          <w:w w:val="105"/>
        </w:rPr>
        <w:t xml:space="preserve">Les lots réservés </w:t>
      </w:r>
      <w:r w:rsidR="0052207E" w:rsidRPr="004B11FD">
        <w:rPr>
          <w:rFonts w:asciiTheme="minorHAnsi" w:hAnsiTheme="minorHAnsi" w:cstheme="minorBidi"/>
          <w:w w:val="105"/>
        </w:rPr>
        <w:t xml:space="preserve">à ces </w:t>
      </w:r>
      <w:r w:rsidR="009847ED" w:rsidRPr="000C0159">
        <w:rPr>
          <w:rFonts w:asciiTheme="minorHAnsi" w:hAnsiTheme="minorHAnsi" w:cstheme="minorBidi"/>
          <w:shd w:val="clear" w:color="auto" w:fill="BFBFBF" w:themeFill="background1" w:themeFillShade="BF"/>
        </w:rPr>
        <w:t>…</w:t>
      </w:r>
      <w:r w:rsidR="0052207E" w:rsidRPr="004B11FD">
        <w:rPr>
          <w:rFonts w:asciiTheme="minorHAnsi" w:hAnsiTheme="minorHAnsi" w:cstheme="minorBidi"/>
          <w:w w:val="105"/>
        </w:rPr>
        <w:t>m</w:t>
      </w:r>
      <w:r w:rsidR="0052207E" w:rsidRPr="004B11FD">
        <w:rPr>
          <w:rFonts w:asciiTheme="minorHAnsi" w:hAnsiTheme="minorHAnsi" w:cstheme="minorBidi"/>
          <w:w w:val="105"/>
          <w:vertAlign w:val="superscript"/>
        </w:rPr>
        <w:t>2</w:t>
      </w:r>
      <w:r w:rsidR="0052207E" w:rsidRPr="00576299">
        <w:rPr>
          <w:rFonts w:asciiTheme="minorHAnsi" w:hAnsiTheme="minorHAnsi" w:cstheme="minorBidi"/>
          <w:w w:val="105"/>
        </w:rPr>
        <w:t xml:space="preserve"> </w:t>
      </w:r>
      <w:r w:rsidR="009847ED">
        <w:rPr>
          <w:rFonts w:asciiTheme="minorHAnsi" w:hAnsiTheme="minorHAnsi" w:cstheme="minorBidi"/>
          <w:w w:val="105"/>
        </w:rPr>
        <w:t xml:space="preserve">de </w:t>
      </w:r>
      <w:r w:rsidR="0052207E" w:rsidRPr="00576299">
        <w:rPr>
          <w:rFonts w:asciiTheme="minorHAnsi" w:hAnsiTheme="minorHAnsi" w:cstheme="minorBidi"/>
          <w:w w:val="105"/>
        </w:rPr>
        <w:t>SCB</w:t>
      </w:r>
      <w:r w:rsidR="0052207E" w:rsidRPr="004B11FD">
        <w:rPr>
          <w:rFonts w:asciiTheme="minorHAnsi" w:hAnsiTheme="minorHAnsi" w:cstheme="minorBidi"/>
          <w:w w:val="105"/>
          <w:vertAlign w:val="superscript"/>
        </w:rPr>
        <w:t xml:space="preserve"> </w:t>
      </w:r>
      <w:r w:rsidR="0052207E" w:rsidRPr="004B11FD">
        <w:rPr>
          <w:rFonts w:asciiTheme="minorHAnsi" w:hAnsiTheme="minorHAnsi" w:cstheme="minorBidi"/>
          <w:w w:val="105"/>
        </w:rPr>
        <w:t xml:space="preserve">correspondant à </w:t>
      </w:r>
      <w:r w:rsidR="009847ED" w:rsidRPr="000C0159">
        <w:rPr>
          <w:rFonts w:asciiTheme="minorHAnsi" w:hAnsiTheme="minorHAnsi" w:cstheme="minorBidi"/>
          <w:shd w:val="clear" w:color="auto" w:fill="BFBFBF" w:themeFill="background1" w:themeFillShade="BF"/>
        </w:rPr>
        <w:t>…</w:t>
      </w:r>
      <w:r w:rsidR="0052207E" w:rsidRPr="004B11FD">
        <w:rPr>
          <w:rFonts w:asciiTheme="minorHAnsi" w:hAnsiTheme="minorHAnsi" w:cstheme="minorBidi"/>
          <w:w w:val="105"/>
        </w:rPr>
        <w:t xml:space="preserve"> de logements sont les suivants :</w:t>
      </w:r>
    </w:p>
    <w:p w14:paraId="2D52A6D6" w14:textId="77777777" w:rsidR="00CC3ADC" w:rsidRPr="00CD53EE" w:rsidRDefault="00CC3ADC" w:rsidP="00CC3ADC">
      <w:pPr>
        <w:pStyle w:val="ListParagraph"/>
        <w:adjustRightInd w:val="0"/>
        <w:spacing w:line="240" w:lineRule="atLeast"/>
        <w:ind w:left="66"/>
        <w:jc w:val="both"/>
        <w:rPr>
          <w:rFonts w:asciiTheme="minorHAnsi" w:hAnsiTheme="minorHAnsi" w:cstheme="minorHAnsi"/>
          <w:sz w:val="21"/>
          <w:szCs w:val="21"/>
        </w:rPr>
      </w:pPr>
    </w:p>
    <w:tbl>
      <w:tblPr>
        <w:tblW w:w="9350" w:type="dxa"/>
        <w:tblCellMar>
          <w:left w:w="70" w:type="dxa"/>
          <w:right w:w="70" w:type="dxa"/>
        </w:tblCellMar>
        <w:tblLook w:val="04A0" w:firstRow="1" w:lastRow="0" w:firstColumn="1" w:lastColumn="0" w:noHBand="0" w:noVBand="1"/>
      </w:tblPr>
      <w:tblGrid>
        <w:gridCol w:w="1554"/>
        <w:gridCol w:w="1558"/>
        <w:gridCol w:w="1561"/>
        <w:gridCol w:w="1277"/>
        <w:gridCol w:w="1558"/>
        <w:gridCol w:w="1842"/>
      </w:tblGrid>
      <w:tr w:rsidR="000776C5" w:rsidRPr="00940A4E" w14:paraId="101A2DAF" w14:textId="77777777" w:rsidTr="00616C6B">
        <w:trPr>
          <w:trHeight w:val="570"/>
        </w:trPr>
        <w:tc>
          <w:tcPr>
            <w:tcW w:w="1554" w:type="dxa"/>
            <w:tcBorders>
              <w:top w:val="single" w:sz="4" w:space="0" w:color="auto"/>
              <w:left w:val="single" w:sz="4" w:space="0" w:color="auto"/>
              <w:bottom w:val="single" w:sz="4" w:space="0" w:color="auto"/>
              <w:right w:val="single" w:sz="4" w:space="0" w:color="auto"/>
            </w:tcBorders>
            <w:noWrap/>
            <w:vAlign w:val="center"/>
            <w:hideMark/>
          </w:tcPr>
          <w:p w14:paraId="56D7275F" w14:textId="77777777" w:rsidR="000776C5" w:rsidRPr="00616C6B" w:rsidRDefault="000776C5">
            <w:pPr>
              <w:jc w:val="center"/>
              <w:rPr>
                <w:rFonts w:asciiTheme="minorHAnsi" w:eastAsia="Times New Roman" w:hAnsiTheme="minorHAnsi" w:cstheme="minorBidi"/>
                <w:b/>
                <w:bCs/>
                <w:color w:val="000000"/>
                <w:sz w:val="21"/>
                <w:szCs w:val="21"/>
                <w:lang w:eastAsia="fr-FR"/>
              </w:rPr>
            </w:pPr>
            <w:r w:rsidRPr="004B11FD">
              <w:rPr>
                <w:rFonts w:asciiTheme="minorHAnsi" w:eastAsia="Times New Roman" w:hAnsiTheme="minorHAnsi" w:cstheme="minorBidi"/>
                <w:b/>
                <w:bCs/>
                <w:color w:val="000000"/>
                <w:sz w:val="21"/>
                <w:szCs w:val="21"/>
                <w:lang w:eastAsia="fr-FR"/>
              </w:rPr>
              <w:t>Lot PAP</w:t>
            </w:r>
          </w:p>
        </w:tc>
        <w:tc>
          <w:tcPr>
            <w:tcW w:w="1558" w:type="dxa"/>
            <w:tcBorders>
              <w:top w:val="single" w:sz="4" w:space="0" w:color="auto"/>
              <w:left w:val="nil"/>
              <w:bottom w:val="single" w:sz="4" w:space="0" w:color="auto"/>
              <w:right w:val="single" w:sz="4" w:space="0" w:color="auto"/>
            </w:tcBorders>
            <w:noWrap/>
            <w:vAlign w:val="center"/>
            <w:hideMark/>
          </w:tcPr>
          <w:p w14:paraId="170E5A3B" w14:textId="77777777" w:rsidR="000776C5" w:rsidRPr="00616C6B" w:rsidRDefault="000776C5">
            <w:pPr>
              <w:jc w:val="center"/>
              <w:rPr>
                <w:rFonts w:asciiTheme="minorHAnsi" w:eastAsia="Times New Roman" w:hAnsiTheme="minorHAnsi" w:cstheme="minorBidi"/>
                <w:b/>
                <w:bCs/>
                <w:color w:val="000000"/>
                <w:sz w:val="21"/>
                <w:szCs w:val="21"/>
                <w:lang w:eastAsia="fr-FR"/>
              </w:rPr>
            </w:pPr>
            <w:r w:rsidRPr="004B11FD">
              <w:rPr>
                <w:rFonts w:asciiTheme="minorHAnsi" w:eastAsia="Times New Roman" w:hAnsiTheme="minorHAnsi" w:cstheme="minorBidi"/>
                <w:b/>
                <w:bCs/>
                <w:color w:val="000000"/>
                <w:sz w:val="21"/>
                <w:szCs w:val="21"/>
                <w:lang w:eastAsia="fr-FR"/>
              </w:rPr>
              <w:t>SCB</w:t>
            </w:r>
          </w:p>
        </w:tc>
        <w:tc>
          <w:tcPr>
            <w:tcW w:w="1561" w:type="dxa"/>
            <w:tcBorders>
              <w:top w:val="single" w:sz="4" w:space="0" w:color="auto"/>
              <w:left w:val="nil"/>
              <w:bottom w:val="single" w:sz="4" w:space="0" w:color="auto"/>
              <w:right w:val="single" w:sz="4" w:space="0" w:color="auto"/>
            </w:tcBorders>
          </w:tcPr>
          <w:p w14:paraId="5BDB588B" w14:textId="192AAB56" w:rsidR="000776C5" w:rsidRPr="00616C6B" w:rsidRDefault="000776C5">
            <w:pPr>
              <w:jc w:val="center"/>
              <w:rPr>
                <w:rFonts w:asciiTheme="minorHAnsi" w:eastAsia="Times New Roman" w:hAnsiTheme="minorHAnsi" w:cstheme="minorBidi"/>
                <w:b/>
                <w:bCs/>
                <w:color w:val="000000"/>
                <w:sz w:val="21"/>
                <w:szCs w:val="21"/>
                <w:lang w:eastAsia="fr-FR"/>
              </w:rPr>
            </w:pPr>
            <w:r w:rsidRPr="004B11FD">
              <w:rPr>
                <w:rFonts w:asciiTheme="minorHAnsi" w:eastAsia="Times New Roman" w:hAnsiTheme="minorHAnsi" w:cstheme="minorBidi"/>
                <w:b/>
                <w:bCs/>
                <w:color w:val="000000"/>
                <w:sz w:val="21"/>
                <w:szCs w:val="21"/>
                <w:lang w:eastAsia="fr-FR"/>
              </w:rPr>
              <w:t>Nombre d’unités minimales</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1CA8406F" w14:textId="3EDA682D" w:rsidR="000776C5" w:rsidRPr="00616C6B" w:rsidRDefault="000776C5">
            <w:pPr>
              <w:jc w:val="center"/>
              <w:rPr>
                <w:rFonts w:asciiTheme="minorHAnsi" w:eastAsia="Times New Roman" w:hAnsiTheme="minorHAnsi" w:cstheme="minorBidi"/>
                <w:b/>
                <w:bCs/>
                <w:color w:val="000000"/>
                <w:sz w:val="21"/>
                <w:szCs w:val="21"/>
                <w:lang w:eastAsia="fr-FR"/>
              </w:rPr>
            </w:pPr>
            <w:r w:rsidRPr="004B11FD">
              <w:rPr>
                <w:rFonts w:asciiTheme="minorHAnsi" w:eastAsia="Times New Roman" w:hAnsiTheme="minorHAnsi" w:cstheme="minorBidi"/>
                <w:b/>
                <w:bCs/>
                <w:color w:val="000000"/>
                <w:sz w:val="21"/>
                <w:szCs w:val="21"/>
                <w:lang w:eastAsia="fr-FR"/>
              </w:rPr>
              <w:t>Nombre d’unités maximales</w:t>
            </w:r>
          </w:p>
        </w:tc>
        <w:tc>
          <w:tcPr>
            <w:tcW w:w="1558" w:type="dxa"/>
            <w:tcBorders>
              <w:top w:val="single" w:sz="4" w:space="0" w:color="auto"/>
              <w:left w:val="nil"/>
              <w:bottom w:val="single" w:sz="4" w:space="0" w:color="auto"/>
              <w:right w:val="single" w:sz="4" w:space="0" w:color="auto"/>
            </w:tcBorders>
            <w:vAlign w:val="center"/>
            <w:hideMark/>
          </w:tcPr>
          <w:p w14:paraId="7DBCA23C" w14:textId="69BF4998" w:rsidR="000776C5" w:rsidRPr="00616C6B" w:rsidRDefault="000776C5">
            <w:pPr>
              <w:jc w:val="center"/>
              <w:rPr>
                <w:rFonts w:asciiTheme="minorHAnsi" w:eastAsia="Times New Roman" w:hAnsiTheme="minorHAnsi" w:cstheme="minorBidi"/>
                <w:b/>
                <w:bCs/>
                <w:color w:val="000000"/>
                <w:sz w:val="21"/>
                <w:szCs w:val="21"/>
                <w:lang w:eastAsia="fr-FR"/>
              </w:rPr>
            </w:pPr>
            <w:r w:rsidRPr="004B11FD">
              <w:rPr>
                <w:rFonts w:asciiTheme="minorHAnsi" w:eastAsia="Times New Roman" w:hAnsiTheme="minorHAnsi" w:cstheme="minorBidi"/>
                <w:b/>
                <w:bCs/>
                <w:color w:val="000000"/>
                <w:sz w:val="21"/>
                <w:szCs w:val="21"/>
                <w:lang w:eastAsia="fr-FR"/>
              </w:rPr>
              <w:t xml:space="preserve">Date </w:t>
            </w:r>
            <w:proofErr w:type="spellStart"/>
            <w:r w:rsidRPr="004B11FD">
              <w:rPr>
                <w:rFonts w:asciiTheme="minorHAnsi" w:eastAsia="Times New Roman" w:hAnsiTheme="minorHAnsi" w:cstheme="minorBidi"/>
                <w:b/>
                <w:bCs/>
                <w:color w:val="000000"/>
                <w:sz w:val="21"/>
                <w:szCs w:val="21"/>
                <w:lang w:eastAsia="fr-FR"/>
              </w:rPr>
              <w:t>prév</w:t>
            </w:r>
            <w:proofErr w:type="spellEnd"/>
            <w:r w:rsidRPr="004B11FD">
              <w:rPr>
                <w:rFonts w:asciiTheme="minorHAnsi" w:eastAsia="Times New Roman" w:hAnsiTheme="minorHAnsi" w:cstheme="minorBidi"/>
                <w:b/>
                <w:bCs/>
                <w:color w:val="000000"/>
                <w:sz w:val="21"/>
                <w:szCs w:val="21"/>
                <w:lang w:eastAsia="fr-FR"/>
              </w:rPr>
              <w:t>. Démarrage travaux</w:t>
            </w:r>
          </w:p>
        </w:tc>
        <w:tc>
          <w:tcPr>
            <w:tcW w:w="1842" w:type="dxa"/>
            <w:tcBorders>
              <w:top w:val="single" w:sz="4" w:space="0" w:color="auto"/>
              <w:left w:val="nil"/>
              <w:bottom w:val="single" w:sz="4" w:space="0" w:color="auto"/>
              <w:right w:val="single" w:sz="4" w:space="0" w:color="auto"/>
            </w:tcBorders>
            <w:vAlign w:val="center"/>
            <w:hideMark/>
          </w:tcPr>
          <w:p w14:paraId="48A8D5AD" w14:textId="6A774C7E" w:rsidR="000776C5" w:rsidRPr="00616C6B" w:rsidRDefault="000776C5">
            <w:pPr>
              <w:jc w:val="center"/>
              <w:rPr>
                <w:rFonts w:asciiTheme="minorHAnsi" w:eastAsia="Times New Roman" w:hAnsiTheme="minorHAnsi" w:cstheme="minorBidi"/>
                <w:b/>
                <w:bCs/>
                <w:color w:val="000000"/>
                <w:sz w:val="21"/>
                <w:szCs w:val="21"/>
                <w:lang w:eastAsia="fr-FR"/>
              </w:rPr>
            </w:pPr>
            <w:r w:rsidRPr="004B11FD">
              <w:rPr>
                <w:rFonts w:asciiTheme="minorHAnsi" w:eastAsia="Times New Roman" w:hAnsiTheme="minorHAnsi" w:cstheme="minorBidi"/>
                <w:b/>
                <w:bCs/>
                <w:color w:val="000000"/>
                <w:sz w:val="21"/>
                <w:szCs w:val="21"/>
                <w:lang w:eastAsia="fr-FR"/>
              </w:rPr>
              <w:t xml:space="preserve">Date </w:t>
            </w:r>
            <w:proofErr w:type="spellStart"/>
            <w:r w:rsidRPr="004B11FD">
              <w:rPr>
                <w:rFonts w:asciiTheme="minorHAnsi" w:eastAsia="Times New Roman" w:hAnsiTheme="minorHAnsi" w:cstheme="minorBidi"/>
                <w:b/>
                <w:bCs/>
                <w:color w:val="000000"/>
                <w:sz w:val="21"/>
                <w:szCs w:val="21"/>
                <w:lang w:eastAsia="fr-FR"/>
              </w:rPr>
              <w:t>prév</w:t>
            </w:r>
            <w:proofErr w:type="spellEnd"/>
            <w:r w:rsidRPr="004B11FD">
              <w:rPr>
                <w:rFonts w:asciiTheme="minorHAnsi" w:eastAsia="Times New Roman" w:hAnsiTheme="minorHAnsi" w:cstheme="minorBidi"/>
                <w:b/>
                <w:bCs/>
                <w:color w:val="000000"/>
                <w:sz w:val="21"/>
                <w:szCs w:val="21"/>
                <w:lang w:eastAsia="fr-FR"/>
              </w:rPr>
              <w:t>. Livraison</w:t>
            </w:r>
          </w:p>
        </w:tc>
      </w:tr>
      <w:tr w:rsidR="000776C5" w:rsidRPr="00940A4E" w14:paraId="538BF4CA" w14:textId="77777777" w:rsidTr="00616C6B">
        <w:trPr>
          <w:trHeight w:val="285"/>
        </w:trPr>
        <w:tc>
          <w:tcPr>
            <w:tcW w:w="1554" w:type="dxa"/>
            <w:tcBorders>
              <w:top w:val="nil"/>
              <w:left w:val="single" w:sz="4" w:space="0" w:color="auto"/>
              <w:bottom w:val="nil"/>
              <w:right w:val="single" w:sz="4" w:space="0" w:color="auto"/>
            </w:tcBorders>
            <w:noWrap/>
            <w:vAlign w:val="bottom"/>
            <w:hideMark/>
          </w:tcPr>
          <w:p w14:paraId="57575243" w14:textId="77777777" w:rsidR="000776C5" w:rsidRPr="00616C6B" w:rsidRDefault="000776C5">
            <w:pPr>
              <w:jc w:val="cente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Lot 1</w:t>
            </w:r>
          </w:p>
        </w:tc>
        <w:tc>
          <w:tcPr>
            <w:tcW w:w="1558" w:type="dxa"/>
            <w:tcBorders>
              <w:top w:val="nil"/>
              <w:left w:val="nil"/>
              <w:bottom w:val="nil"/>
              <w:right w:val="single" w:sz="4" w:space="0" w:color="auto"/>
            </w:tcBorders>
            <w:noWrap/>
            <w:vAlign w:val="bottom"/>
            <w:hideMark/>
          </w:tcPr>
          <w:p w14:paraId="4BFBBD50" w14:textId="77777777"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xxx m²</w:t>
            </w:r>
          </w:p>
        </w:tc>
        <w:tc>
          <w:tcPr>
            <w:tcW w:w="1561" w:type="dxa"/>
            <w:tcBorders>
              <w:top w:val="single" w:sz="4" w:space="0" w:color="auto"/>
              <w:left w:val="nil"/>
              <w:bottom w:val="single" w:sz="4" w:space="0" w:color="auto"/>
              <w:right w:val="single" w:sz="4" w:space="0" w:color="auto"/>
            </w:tcBorders>
            <w:vAlign w:val="bottom"/>
          </w:tcPr>
          <w:p w14:paraId="5C0B563F" w14:textId="3BB9A1D6"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unités</w:t>
            </w:r>
          </w:p>
        </w:tc>
        <w:tc>
          <w:tcPr>
            <w:tcW w:w="1277" w:type="dxa"/>
            <w:tcBorders>
              <w:top w:val="nil"/>
              <w:left w:val="single" w:sz="4" w:space="0" w:color="auto"/>
              <w:bottom w:val="nil"/>
              <w:right w:val="single" w:sz="4" w:space="0" w:color="auto"/>
            </w:tcBorders>
            <w:noWrap/>
            <w:vAlign w:val="bottom"/>
            <w:hideMark/>
          </w:tcPr>
          <w:p w14:paraId="139A9243" w14:textId="3BC3A7DB"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unités</w:t>
            </w:r>
          </w:p>
        </w:tc>
        <w:tc>
          <w:tcPr>
            <w:tcW w:w="1558" w:type="dxa"/>
            <w:tcBorders>
              <w:top w:val="nil"/>
              <w:left w:val="nil"/>
              <w:bottom w:val="nil"/>
              <w:right w:val="single" w:sz="4" w:space="0" w:color="auto"/>
            </w:tcBorders>
            <w:noWrap/>
            <w:vAlign w:val="bottom"/>
            <w:hideMark/>
          </w:tcPr>
          <w:p w14:paraId="2BE9D2E8" w14:textId="77777777" w:rsidR="000776C5" w:rsidRPr="00616C6B" w:rsidRDefault="000776C5">
            <w:pP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 xml:space="preserve">           20xx</w:t>
            </w:r>
          </w:p>
        </w:tc>
        <w:tc>
          <w:tcPr>
            <w:tcW w:w="1842" w:type="dxa"/>
            <w:tcBorders>
              <w:top w:val="nil"/>
              <w:left w:val="nil"/>
              <w:bottom w:val="nil"/>
              <w:right w:val="single" w:sz="4" w:space="0" w:color="auto"/>
            </w:tcBorders>
            <w:noWrap/>
            <w:vAlign w:val="bottom"/>
            <w:hideMark/>
          </w:tcPr>
          <w:p w14:paraId="444CDB75" w14:textId="77777777" w:rsidR="000776C5" w:rsidRPr="00940A4E" w:rsidRDefault="000776C5" w:rsidP="000776C5">
            <w:pPr>
              <w:rPr>
                <w:rFonts w:asciiTheme="minorHAnsi" w:eastAsia="Times New Roman" w:hAnsiTheme="minorHAnsi" w:cstheme="minorHAnsi"/>
                <w:color w:val="000000"/>
                <w:sz w:val="21"/>
                <w:szCs w:val="21"/>
                <w:lang w:eastAsia="fr-FR"/>
              </w:rPr>
            </w:pPr>
          </w:p>
        </w:tc>
      </w:tr>
      <w:tr w:rsidR="000776C5" w:rsidRPr="00940A4E" w14:paraId="290A80E4" w14:textId="77777777" w:rsidTr="00616C6B">
        <w:trPr>
          <w:trHeight w:val="285"/>
        </w:trPr>
        <w:tc>
          <w:tcPr>
            <w:tcW w:w="1554" w:type="dxa"/>
            <w:tcBorders>
              <w:top w:val="single" w:sz="4" w:space="0" w:color="auto"/>
              <w:left w:val="single" w:sz="4" w:space="0" w:color="auto"/>
              <w:bottom w:val="single" w:sz="4" w:space="0" w:color="auto"/>
              <w:right w:val="single" w:sz="4" w:space="0" w:color="auto"/>
            </w:tcBorders>
            <w:noWrap/>
            <w:vAlign w:val="bottom"/>
            <w:hideMark/>
          </w:tcPr>
          <w:p w14:paraId="3B3AC8B1" w14:textId="77777777" w:rsidR="000776C5" w:rsidRPr="00616C6B" w:rsidRDefault="000776C5">
            <w:pPr>
              <w:jc w:val="cente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Lot 2</w:t>
            </w:r>
          </w:p>
        </w:tc>
        <w:tc>
          <w:tcPr>
            <w:tcW w:w="1558" w:type="dxa"/>
            <w:tcBorders>
              <w:top w:val="single" w:sz="4" w:space="0" w:color="auto"/>
              <w:left w:val="nil"/>
              <w:bottom w:val="single" w:sz="4" w:space="0" w:color="auto"/>
              <w:right w:val="single" w:sz="4" w:space="0" w:color="auto"/>
            </w:tcBorders>
            <w:noWrap/>
            <w:vAlign w:val="bottom"/>
            <w:hideMark/>
          </w:tcPr>
          <w:p w14:paraId="593209F0" w14:textId="77777777"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xxx m²</w:t>
            </w:r>
          </w:p>
        </w:tc>
        <w:tc>
          <w:tcPr>
            <w:tcW w:w="1561" w:type="dxa"/>
            <w:tcBorders>
              <w:top w:val="single" w:sz="4" w:space="0" w:color="auto"/>
              <w:left w:val="nil"/>
              <w:bottom w:val="single" w:sz="4" w:space="0" w:color="auto"/>
              <w:right w:val="single" w:sz="4" w:space="0" w:color="auto"/>
            </w:tcBorders>
            <w:vAlign w:val="bottom"/>
          </w:tcPr>
          <w:p w14:paraId="57D7333B" w14:textId="2DDCA8FB"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w:t>
            </w:r>
          </w:p>
        </w:tc>
        <w:tc>
          <w:tcPr>
            <w:tcW w:w="1277" w:type="dxa"/>
            <w:tcBorders>
              <w:top w:val="single" w:sz="4" w:space="0" w:color="auto"/>
              <w:left w:val="single" w:sz="4" w:space="0" w:color="auto"/>
              <w:bottom w:val="single" w:sz="4" w:space="0" w:color="auto"/>
              <w:right w:val="single" w:sz="4" w:space="0" w:color="auto"/>
            </w:tcBorders>
            <w:noWrap/>
            <w:vAlign w:val="bottom"/>
            <w:hideMark/>
          </w:tcPr>
          <w:p w14:paraId="6FB41BA5" w14:textId="755EFB2F"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w:t>
            </w:r>
          </w:p>
        </w:tc>
        <w:tc>
          <w:tcPr>
            <w:tcW w:w="1558" w:type="dxa"/>
            <w:tcBorders>
              <w:top w:val="single" w:sz="4" w:space="0" w:color="auto"/>
              <w:left w:val="nil"/>
              <w:bottom w:val="single" w:sz="4" w:space="0" w:color="auto"/>
              <w:right w:val="single" w:sz="4" w:space="0" w:color="auto"/>
            </w:tcBorders>
            <w:noWrap/>
            <w:vAlign w:val="bottom"/>
            <w:hideMark/>
          </w:tcPr>
          <w:p w14:paraId="6B957283" w14:textId="77777777" w:rsidR="000776C5" w:rsidRPr="00616C6B" w:rsidRDefault="000776C5">
            <w:pP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 xml:space="preserve">           20xx</w:t>
            </w:r>
          </w:p>
        </w:tc>
        <w:tc>
          <w:tcPr>
            <w:tcW w:w="1842" w:type="dxa"/>
            <w:tcBorders>
              <w:top w:val="single" w:sz="4" w:space="0" w:color="auto"/>
              <w:left w:val="nil"/>
              <w:bottom w:val="single" w:sz="4" w:space="0" w:color="auto"/>
              <w:right w:val="single" w:sz="4" w:space="0" w:color="auto"/>
            </w:tcBorders>
            <w:noWrap/>
            <w:vAlign w:val="bottom"/>
            <w:hideMark/>
          </w:tcPr>
          <w:p w14:paraId="5F57093E" w14:textId="77777777" w:rsidR="000776C5" w:rsidRPr="00940A4E" w:rsidRDefault="000776C5" w:rsidP="000776C5">
            <w:pPr>
              <w:rPr>
                <w:rFonts w:asciiTheme="minorHAnsi" w:eastAsia="Times New Roman" w:hAnsiTheme="minorHAnsi" w:cstheme="minorHAnsi"/>
                <w:color w:val="000000"/>
                <w:sz w:val="21"/>
                <w:szCs w:val="21"/>
                <w:lang w:eastAsia="fr-FR"/>
              </w:rPr>
            </w:pPr>
          </w:p>
        </w:tc>
      </w:tr>
      <w:tr w:rsidR="000776C5" w:rsidRPr="00940A4E" w14:paraId="50C4669C" w14:textId="77777777" w:rsidTr="00616C6B">
        <w:trPr>
          <w:trHeight w:val="285"/>
        </w:trPr>
        <w:tc>
          <w:tcPr>
            <w:tcW w:w="1554" w:type="dxa"/>
            <w:tcBorders>
              <w:top w:val="nil"/>
              <w:left w:val="single" w:sz="4" w:space="0" w:color="auto"/>
              <w:bottom w:val="single" w:sz="4" w:space="0" w:color="auto"/>
              <w:right w:val="single" w:sz="4" w:space="0" w:color="auto"/>
            </w:tcBorders>
            <w:noWrap/>
            <w:vAlign w:val="bottom"/>
            <w:hideMark/>
          </w:tcPr>
          <w:p w14:paraId="12FF7DDA" w14:textId="77777777" w:rsidR="000776C5" w:rsidRPr="00616C6B" w:rsidRDefault="000776C5">
            <w:pPr>
              <w:jc w:val="cente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Lot 3</w:t>
            </w:r>
          </w:p>
        </w:tc>
        <w:tc>
          <w:tcPr>
            <w:tcW w:w="1558" w:type="dxa"/>
            <w:tcBorders>
              <w:top w:val="nil"/>
              <w:left w:val="nil"/>
              <w:bottom w:val="single" w:sz="4" w:space="0" w:color="auto"/>
              <w:right w:val="single" w:sz="4" w:space="0" w:color="auto"/>
            </w:tcBorders>
            <w:noWrap/>
            <w:vAlign w:val="bottom"/>
            <w:hideMark/>
          </w:tcPr>
          <w:p w14:paraId="6E8BD18F" w14:textId="77777777"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xxx m²</w:t>
            </w:r>
          </w:p>
        </w:tc>
        <w:tc>
          <w:tcPr>
            <w:tcW w:w="1561" w:type="dxa"/>
            <w:tcBorders>
              <w:top w:val="single" w:sz="4" w:space="0" w:color="auto"/>
              <w:left w:val="nil"/>
              <w:bottom w:val="single" w:sz="4" w:space="0" w:color="auto"/>
              <w:right w:val="single" w:sz="4" w:space="0" w:color="auto"/>
            </w:tcBorders>
            <w:vAlign w:val="bottom"/>
          </w:tcPr>
          <w:p w14:paraId="181AAF2F" w14:textId="0CC2FC6A"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unités</w:t>
            </w:r>
          </w:p>
        </w:tc>
        <w:tc>
          <w:tcPr>
            <w:tcW w:w="1277" w:type="dxa"/>
            <w:tcBorders>
              <w:top w:val="nil"/>
              <w:left w:val="single" w:sz="4" w:space="0" w:color="auto"/>
              <w:bottom w:val="single" w:sz="4" w:space="0" w:color="auto"/>
              <w:right w:val="single" w:sz="4" w:space="0" w:color="auto"/>
            </w:tcBorders>
            <w:noWrap/>
            <w:vAlign w:val="bottom"/>
            <w:hideMark/>
          </w:tcPr>
          <w:p w14:paraId="04F35217" w14:textId="47AECDD1"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unités</w:t>
            </w:r>
          </w:p>
        </w:tc>
        <w:tc>
          <w:tcPr>
            <w:tcW w:w="1558" w:type="dxa"/>
            <w:tcBorders>
              <w:top w:val="nil"/>
              <w:left w:val="nil"/>
              <w:bottom w:val="single" w:sz="4" w:space="0" w:color="auto"/>
              <w:right w:val="single" w:sz="4" w:space="0" w:color="auto"/>
            </w:tcBorders>
            <w:noWrap/>
            <w:vAlign w:val="bottom"/>
            <w:hideMark/>
          </w:tcPr>
          <w:p w14:paraId="05A0E8A4" w14:textId="77777777" w:rsidR="000776C5" w:rsidRPr="00616C6B" w:rsidRDefault="000776C5">
            <w:pP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 xml:space="preserve">           20xx</w:t>
            </w:r>
          </w:p>
        </w:tc>
        <w:tc>
          <w:tcPr>
            <w:tcW w:w="1842" w:type="dxa"/>
            <w:tcBorders>
              <w:top w:val="nil"/>
              <w:left w:val="nil"/>
              <w:bottom w:val="single" w:sz="4" w:space="0" w:color="auto"/>
              <w:right w:val="single" w:sz="4" w:space="0" w:color="auto"/>
            </w:tcBorders>
            <w:noWrap/>
            <w:vAlign w:val="bottom"/>
            <w:hideMark/>
          </w:tcPr>
          <w:p w14:paraId="09099C78" w14:textId="77777777" w:rsidR="000776C5" w:rsidRPr="00940A4E" w:rsidRDefault="000776C5" w:rsidP="000776C5">
            <w:pPr>
              <w:rPr>
                <w:rFonts w:asciiTheme="minorHAnsi" w:eastAsia="Times New Roman" w:hAnsiTheme="minorHAnsi" w:cstheme="minorHAnsi"/>
                <w:color w:val="000000"/>
                <w:sz w:val="21"/>
                <w:szCs w:val="21"/>
                <w:lang w:eastAsia="fr-FR"/>
              </w:rPr>
            </w:pPr>
          </w:p>
        </w:tc>
      </w:tr>
      <w:tr w:rsidR="000776C5" w:rsidRPr="00940A4E" w14:paraId="4BD424CA" w14:textId="77777777" w:rsidTr="00616C6B">
        <w:trPr>
          <w:trHeight w:val="285"/>
        </w:trPr>
        <w:tc>
          <w:tcPr>
            <w:tcW w:w="1554" w:type="dxa"/>
            <w:tcBorders>
              <w:top w:val="nil"/>
              <w:left w:val="single" w:sz="4" w:space="0" w:color="auto"/>
              <w:bottom w:val="single" w:sz="4" w:space="0" w:color="auto"/>
              <w:right w:val="single" w:sz="4" w:space="0" w:color="auto"/>
            </w:tcBorders>
            <w:noWrap/>
            <w:vAlign w:val="bottom"/>
            <w:hideMark/>
          </w:tcPr>
          <w:p w14:paraId="19A13F4C" w14:textId="77777777" w:rsidR="000776C5" w:rsidRPr="00616C6B" w:rsidRDefault="000776C5">
            <w:pPr>
              <w:jc w:val="cente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Lot 4</w:t>
            </w:r>
          </w:p>
        </w:tc>
        <w:tc>
          <w:tcPr>
            <w:tcW w:w="1558" w:type="dxa"/>
            <w:tcBorders>
              <w:top w:val="nil"/>
              <w:left w:val="nil"/>
              <w:bottom w:val="single" w:sz="4" w:space="0" w:color="auto"/>
              <w:right w:val="single" w:sz="4" w:space="0" w:color="auto"/>
            </w:tcBorders>
            <w:noWrap/>
            <w:vAlign w:val="bottom"/>
            <w:hideMark/>
          </w:tcPr>
          <w:p w14:paraId="5A060B2B" w14:textId="77777777"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xxx m²</w:t>
            </w:r>
          </w:p>
        </w:tc>
        <w:tc>
          <w:tcPr>
            <w:tcW w:w="1561" w:type="dxa"/>
            <w:tcBorders>
              <w:top w:val="single" w:sz="4" w:space="0" w:color="auto"/>
              <w:left w:val="nil"/>
              <w:bottom w:val="single" w:sz="4" w:space="0" w:color="auto"/>
              <w:right w:val="single" w:sz="4" w:space="0" w:color="auto"/>
            </w:tcBorders>
            <w:vAlign w:val="bottom"/>
          </w:tcPr>
          <w:p w14:paraId="7A349F00" w14:textId="1844690F"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unités</w:t>
            </w:r>
          </w:p>
        </w:tc>
        <w:tc>
          <w:tcPr>
            <w:tcW w:w="1277" w:type="dxa"/>
            <w:tcBorders>
              <w:top w:val="nil"/>
              <w:left w:val="single" w:sz="4" w:space="0" w:color="auto"/>
              <w:bottom w:val="single" w:sz="4" w:space="0" w:color="auto"/>
              <w:right w:val="single" w:sz="4" w:space="0" w:color="auto"/>
            </w:tcBorders>
            <w:noWrap/>
            <w:vAlign w:val="bottom"/>
            <w:hideMark/>
          </w:tcPr>
          <w:p w14:paraId="34E7522E" w14:textId="67671F9C"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unités</w:t>
            </w:r>
          </w:p>
        </w:tc>
        <w:tc>
          <w:tcPr>
            <w:tcW w:w="1558" w:type="dxa"/>
            <w:tcBorders>
              <w:top w:val="nil"/>
              <w:left w:val="nil"/>
              <w:bottom w:val="single" w:sz="4" w:space="0" w:color="auto"/>
              <w:right w:val="single" w:sz="4" w:space="0" w:color="auto"/>
            </w:tcBorders>
            <w:noWrap/>
            <w:vAlign w:val="bottom"/>
            <w:hideMark/>
          </w:tcPr>
          <w:p w14:paraId="29487538" w14:textId="77777777" w:rsidR="000776C5" w:rsidRPr="00616C6B" w:rsidRDefault="000776C5">
            <w:pP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 xml:space="preserve">           20xx</w:t>
            </w:r>
          </w:p>
        </w:tc>
        <w:tc>
          <w:tcPr>
            <w:tcW w:w="1842" w:type="dxa"/>
            <w:tcBorders>
              <w:top w:val="nil"/>
              <w:left w:val="nil"/>
              <w:bottom w:val="single" w:sz="4" w:space="0" w:color="auto"/>
              <w:right w:val="single" w:sz="4" w:space="0" w:color="auto"/>
            </w:tcBorders>
            <w:noWrap/>
            <w:vAlign w:val="bottom"/>
            <w:hideMark/>
          </w:tcPr>
          <w:p w14:paraId="5BC5BC42" w14:textId="77777777" w:rsidR="000776C5" w:rsidRPr="00940A4E" w:rsidRDefault="000776C5" w:rsidP="000776C5">
            <w:pPr>
              <w:rPr>
                <w:rFonts w:asciiTheme="minorHAnsi" w:eastAsia="Times New Roman" w:hAnsiTheme="minorHAnsi" w:cstheme="minorHAnsi"/>
                <w:color w:val="000000"/>
                <w:sz w:val="21"/>
                <w:szCs w:val="21"/>
                <w:lang w:eastAsia="fr-FR"/>
              </w:rPr>
            </w:pPr>
          </w:p>
        </w:tc>
      </w:tr>
      <w:tr w:rsidR="000776C5" w:rsidRPr="00940A4E" w14:paraId="1647E522" w14:textId="77777777" w:rsidTr="00616C6B">
        <w:trPr>
          <w:trHeight w:val="285"/>
        </w:trPr>
        <w:tc>
          <w:tcPr>
            <w:tcW w:w="1554" w:type="dxa"/>
            <w:tcBorders>
              <w:top w:val="nil"/>
              <w:left w:val="single" w:sz="4" w:space="0" w:color="auto"/>
              <w:bottom w:val="single" w:sz="4" w:space="0" w:color="auto"/>
              <w:right w:val="single" w:sz="4" w:space="0" w:color="auto"/>
            </w:tcBorders>
            <w:noWrap/>
            <w:vAlign w:val="bottom"/>
            <w:hideMark/>
          </w:tcPr>
          <w:p w14:paraId="24943A0B" w14:textId="77777777" w:rsidR="000776C5" w:rsidRPr="00616C6B" w:rsidRDefault="000776C5">
            <w:pPr>
              <w:jc w:val="cente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Lot 5</w:t>
            </w:r>
          </w:p>
        </w:tc>
        <w:tc>
          <w:tcPr>
            <w:tcW w:w="1558" w:type="dxa"/>
            <w:tcBorders>
              <w:top w:val="nil"/>
              <w:left w:val="nil"/>
              <w:bottom w:val="single" w:sz="4" w:space="0" w:color="auto"/>
              <w:right w:val="single" w:sz="4" w:space="0" w:color="auto"/>
            </w:tcBorders>
            <w:noWrap/>
            <w:vAlign w:val="bottom"/>
            <w:hideMark/>
          </w:tcPr>
          <w:p w14:paraId="6583779C" w14:textId="77777777"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xxx m²</w:t>
            </w:r>
          </w:p>
        </w:tc>
        <w:tc>
          <w:tcPr>
            <w:tcW w:w="1561" w:type="dxa"/>
            <w:tcBorders>
              <w:top w:val="single" w:sz="4" w:space="0" w:color="auto"/>
              <w:left w:val="nil"/>
              <w:bottom w:val="single" w:sz="4" w:space="0" w:color="auto"/>
              <w:right w:val="single" w:sz="4" w:space="0" w:color="auto"/>
            </w:tcBorders>
            <w:vAlign w:val="bottom"/>
          </w:tcPr>
          <w:p w14:paraId="3EACF37B" w14:textId="55CC64C3"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w:t>
            </w:r>
          </w:p>
        </w:tc>
        <w:tc>
          <w:tcPr>
            <w:tcW w:w="1277" w:type="dxa"/>
            <w:tcBorders>
              <w:top w:val="nil"/>
              <w:left w:val="single" w:sz="4" w:space="0" w:color="auto"/>
              <w:bottom w:val="single" w:sz="4" w:space="0" w:color="auto"/>
              <w:right w:val="single" w:sz="4" w:space="0" w:color="auto"/>
            </w:tcBorders>
            <w:noWrap/>
            <w:vAlign w:val="bottom"/>
            <w:hideMark/>
          </w:tcPr>
          <w:p w14:paraId="7F907DAD" w14:textId="147DF1AB" w:rsidR="000776C5" w:rsidRPr="00616C6B" w:rsidRDefault="000776C5">
            <w:pPr>
              <w:jc w:val="right"/>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xx unité</w:t>
            </w:r>
          </w:p>
        </w:tc>
        <w:tc>
          <w:tcPr>
            <w:tcW w:w="1558" w:type="dxa"/>
            <w:tcBorders>
              <w:top w:val="nil"/>
              <w:left w:val="nil"/>
              <w:bottom w:val="single" w:sz="4" w:space="0" w:color="auto"/>
              <w:right w:val="single" w:sz="4" w:space="0" w:color="auto"/>
            </w:tcBorders>
            <w:noWrap/>
            <w:vAlign w:val="bottom"/>
            <w:hideMark/>
          </w:tcPr>
          <w:p w14:paraId="6532462A" w14:textId="77777777" w:rsidR="000776C5" w:rsidRPr="00616C6B" w:rsidRDefault="000776C5">
            <w:pPr>
              <w:rPr>
                <w:rFonts w:asciiTheme="minorHAnsi" w:eastAsia="Times New Roman" w:hAnsiTheme="minorHAnsi" w:cstheme="minorBidi"/>
                <w:color w:val="000000"/>
                <w:sz w:val="21"/>
                <w:szCs w:val="21"/>
                <w:lang w:eastAsia="fr-FR"/>
              </w:rPr>
            </w:pPr>
            <w:r w:rsidRPr="004B11FD">
              <w:rPr>
                <w:rFonts w:asciiTheme="minorHAnsi" w:eastAsia="Times New Roman" w:hAnsiTheme="minorHAnsi" w:cstheme="minorBidi"/>
                <w:color w:val="000000"/>
                <w:sz w:val="21"/>
                <w:szCs w:val="21"/>
                <w:lang w:eastAsia="fr-FR"/>
              </w:rPr>
              <w:t xml:space="preserve">           20xx</w:t>
            </w:r>
          </w:p>
        </w:tc>
        <w:tc>
          <w:tcPr>
            <w:tcW w:w="1842" w:type="dxa"/>
            <w:tcBorders>
              <w:top w:val="nil"/>
              <w:left w:val="nil"/>
              <w:bottom w:val="single" w:sz="4" w:space="0" w:color="auto"/>
              <w:right w:val="single" w:sz="4" w:space="0" w:color="auto"/>
            </w:tcBorders>
            <w:noWrap/>
            <w:vAlign w:val="bottom"/>
            <w:hideMark/>
          </w:tcPr>
          <w:p w14:paraId="54BA9DE3" w14:textId="77777777" w:rsidR="000776C5" w:rsidRPr="00940A4E" w:rsidRDefault="000776C5" w:rsidP="000776C5">
            <w:pPr>
              <w:rPr>
                <w:rFonts w:asciiTheme="minorHAnsi" w:eastAsia="Times New Roman" w:hAnsiTheme="minorHAnsi" w:cstheme="minorHAnsi"/>
                <w:color w:val="000000"/>
                <w:sz w:val="21"/>
                <w:szCs w:val="21"/>
                <w:lang w:eastAsia="fr-FR"/>
              </w:rPr>
            </w:pPr>
          </w:p>
        </w:tc>
      </w:tr>
    </w:tbl>
    <w:p w14:paraId="4D681F50" w14:textId="392B3887" w:rsidR="00D50596" w:rsidRDefault="00D50596" w:rsidP="00D50596">
      <w:pPr>
        <w:jc w:val="both"/>
        <w:rPr>
          <w:rFonts w:asciiTheme="minorHAnsi" w:hAnsiTheme="minorHAnsi" w:cstheme="minorHAnsi"/>
        </w:rPr>
      </w:pPr>
    </w:p>
    <w:p w14:paraId="0270A20A" w14:textId="6EF55B26" w:rsidR="00CC3ADC" w:rsidRPr="008549D9" w:rsidRDefault="00CC3ADC" w:rsidP="00576299">
      <w:pPr>
        <w:pStyle w:val="ListParagraph"/>
        <w:numPr>
          <w:ilvl w:val="0"/>
          <w:numId w:val="6"/>
        </w:numPr>
        <w:jc w:val="both"/>
        <w:rPr>
          <w:rFonts w:asciiTheme="minorHAnsi" w:hAnsiTheme="minorHAnsi" w:cstheme="minorBidi"/>
        </w:rPr>
      </w:pPr>
      <w:r w:rsidRPr="008549D9">
        <w:rPr>
          <w:rFonts w:asciiTheme="minorHAnsi" w:hAnsiTheme="minorHAnsi" w:cstheme="minorBidi"/>
        </w:rPr>
        <w:t xml:space="preserve">Le prix de ces logements est fixé d’un commun accord des parties à </w:t>
      </w:r>
      <w:r w:rsidR="009847ED" w:rsidRPr="008549D9">
        <w:rPr>
          <w:rFonts w:asciiTheme="minorHAnsi" w:hAnsiTheme="minorHAnsi" w:cstheme="minorBidi"/>
          <w:shd w:val="clear" w:color="auto" w:fill="BFBFBF" w:themeFill="background1" w:themeFillShade="BF"/>
        </w:rPr>
        <w:t>…</w:t>
      </w:r>
      <w:r w:rsidRPr="008549D9">
        <w:rPr>
          <w:rFonts w:asciiTheme="minorHAnsi" w:hAnsiTheme="minorHAnsi" w:cstheme="minorBidi"/>
        </w:rPr>
        <w:t>€/m</w:t>
      </w:r>
      <w:r w:rsidRPr="008549D9">
        <w:rPr>
          <w:rFonts w:asciiTheme="minorHAnsi" w:hAnsiTheme="minorHAnsi" w:cstheme="minorBidi"/>
          <w:vertAlign w:val="superscript"/>
        </w:rPr>
        <w:t>2</w:t>
      </w:r>
      <w:r w:rsidRPr="008549D9">
        <w:rPr>
          <w:rFonts w:asciiTheme="minorHAnsi" w:hAnsiTheme="minorHAnsi" w:cstheme="minorBidi"/>
        </w:rPr>
        <w:t xml:space="preserve"> </w:t>
      </w:r>
      <w:r w:rsidR="00940A4E" w:rsidRPr="008549D9">
        <w:rPr>
          <w:rFonts w:asciiTheme="minorHAnsi" w:hAnsiTheme="minorHAnsi" w:cstheme="minorBidi"/>
        </w:rPr>
        <w:t xml:space="preserve">TTC </w:t>
      </w:r>
      <w:r w:rsidRPr="008549D9">
        <w:rPr>
          <w:rFonts w:asciiTheme="minorHAnsi" w:hAnsiTheme="minorHAnsi" w:cstheme="minorBidi"/>
        </w:rPr>
        <w:t>par</w:t>
      </w:r>
      <w:r w:rsidR="00547239" w:rsidRPr="008549D9">
        <w:rPr>
          <w:rFonts w:asciiTheme="minorHAnsi" w:hAnsiTheme="minorHAnsi" w:cstheme="minorBidi"/>
        </w:rPr>
        <w:t xml:space="preserve"> m</w:t>
      </w:r>
      <w:r w:rsidR="00547239" w:rsidRPr="00576299">
        <w:rPr>
          <w:rFonts w:asciiTheme="minorHAnsi" w:hAnsiTheme="minorHAnsi" w:cstheme="minorBidi"/>
          <w:vertAlign w:val="superscript"/>
        </w:rPr>
        <w:t>2</w:t>
      </w:r>
      <w:r w:rsidR="00547239" w:rsidRPr="008549D9">
        <w:rPr>
          <w:rFonts w:asciiTheme="minorHAnsi" w:hAnsiTheme="minorHAnsi" w:cstheme="minorBidi"/>
        </w:rPr>
        <w:t xml:space="preserve"> </w:t>
      </w:r>
      <w:r w:rsidR="00541554" w:rsidRPr="008549D9">
        <w:rPr>
          <w:rFonts w:asciiTheme="minorHAnsi" w:hAnsiTheme="minorHAnsi" w:cstheme="minorBidi"/>
        </w:rPr>
        <w:t>SUH</w:t>
      </w:r>
      <w:r w:rsidRPr="008549D9">
        <w:rPr>
          <w:rFonts w:asciiTheme="minorHAnsi" w:hAnsiTheme="minorHAnsi" w:cstheme="minorBidi"/>
        </w:rPr>
        <w:t xml:space="preserve">, y inclus un emplacement de parking couvert </w:t>
      </w:r>
      <w:r w:rsidR="001141EC" w:rsidRPr="008549D9">
        <w:rPr>
          <w:rFonts w:asciiTheme="minorHAnsi" w:hAnsiTheme="minorHAnsi" w:cstheme="minorBidi"/>
        </w:rPr>
        <w:t xml:space="preserve">et toutes les surfaces annexes potentielles qui seront créées lors de l’élaboration des APS et APD </w:t>
      </w:r>
      <w:r w:rsidRPr="008549D9">
        <w:rPr>
          <w:rFonts w:asciiTheme="minorHAnsi" w:hAnsiTheme="minorHAnsi" w:cstheme="minorBidi"/>
        </w:rPr>
        <w:t>et se décompose comme suit :</w:t>
      </w:r>
    </w:p>
    <w:p w14:paraId="79846BF9" w14:textId="6499DC06" w:rsidR="00C42E02" w:rsidRPr="0046071D" w:rsidRDefault="00C42E02" w:rsidP="0046071D">
      <w:pPr>
        <w:pStyle w:val="ListParagraph"/>
        <w:numPr>
          <w:ilvl w:val="0"/>
          <w:numId w:val="10"/>
        </w:numPr>
        <w:tabs>
          <w:tab w:val="left" w:pos="1134"/>
        </w:tabs>
        <w:jc w:val="both"/>
        <w:rPr>
          <w:rFonts w:asciiTheme="minorHAnsi" w:hAnsiTheme="minorHAnsi" w:cstheme="minorBidi"/>
        </w:rPr>
      </w:pPr>
      <w:proofErr w:type="spellStart"/>
      <w:r w:rsidRPr="0046071D">
        <w:rPr>
          <w:rFonts w:asciiTheme="minorHAnsi" w:hAnsiTheme="minorHAnsi" w:cstheme="minorBidi"/>
        </w:rPr>
        <w:t>Q</w:t>
      </w:r>
      <w:r w:rsidR="005702A4" w:rsidRPr="0046071D">
        <w:rPr>
          <w:rFonts w:asciiTheme="minorHAnsi" w:hAnsiTheme="minorHAnsi" w:cstheme="minorBidi"/>
        </w:rPr>
        <w:t>uote</w:t>
      </w:r>
      <w:proofErr w:type="spellEnd"/>
      <w:r w:rsidR="005702A4" w:rsidRPr="0046071D">
        <w:rPr>
          <w:rFonts w:asciiTheme="minorHAnsi" w:hAnsiTheme="minorHAnsi" w:cstheme="minorBidi"/>
        </w:rPr>
        <w:t xml:space="preserve"> </w:t>
      </w:r>
      <w:proofErr w:type="gramStart"/>
      <w:r w:rsidR="005702A4" w:rsidRPr="0046071D">
        <w:rPr>
          <w:rFonts w:asciiTheme="minorHAnsi" w:hAnsiTheme="minorHAnsi" w:cstheme="minorBidi"/>
        </w:rPr>
        <w:t xml:space="preserve">part </w:t>
      </w:r>
      <w:r w:rsidRPr="0046071D">
        <w:rPr>
          <w:rFonts w:asciiTheme="minorHAnsi" w:hAnsiTheme="minorHAnsi" w:cstheme="minorBidi"/>
        </w:rPr>
        <w:t xml:space="preserve"> Terrain</w:t>
      </w:r>
      <w:proofErr w:type="gramEnd"/>
      <w:r w:rsidR="00CC3ADC" w:rsidRPr="0046071D">
        <w:rPr>
          <w:rFonts w:asciiTheme="minorHAnsi" w:hAnsiTheme="minorHAnsi" w:cstheme="minorBidi"/>
        </w:rPr>
        <w:t xml:space="preserve"> </w:t>
      </w:r>
      <w:r w:rsidRPr="0046071D">
        <w:rPr>
          <w:rFonts w:asciiTheme="minorHAnsi" w:hAnsiTheme="minorHAnsi" w:cstheme="minorBidi"/>
        </w:rPr>
        <w:t xml:space="preserve">: </w:t>
      </w:r>
      <w:r w:rsidR="00BF6DDC" w:rsidRPr="0046071D">
        <w:rPr>
          <w:rFonts w:asciiTheme="minorHAnsi" w:hAnsiTheme="minorHAnsi" w:cstheme="minorBidi"/>
          <w:shd w:val="clear" w:color="auto" w:fill="BFBFBF" w:themeFill="background1" w:themeFillShade="BF"/>
        </w:rPr>
        <w:t>…</w:t>
      </w:r>
      <w:r w:rsidRPr="0046071D">
        <w:rPr>
          <w:rFonts w:asciiTheme="minorHAnsi" w:hAnsiTheme="minorHAnsi" w:cstheme="minorBidi"/>
        </w:rPr>
        <w:t xml:space="preserve"> € </w:t>
      </w:r>
      <w:r w:rsidR="00940A4E" w:rsidRPr="0046071D">
        <w:rPr>
          <w:rFonts w:asciiTheme="minorHAnsi" w:hAnsiTheme="minorHAnsi" w:cstheme="minorBidi"/>
        </w:rPr>
        <w:t xml:space="preserve"> </w:t>
      </w:r>
      <w:r w:rsidR="00EA38CB" w:rsidRPr="0046071D">
        <w:rPr>
          <w:rFonts w:asciiTheme="minorHAnsi" w:hAnsiTheme="minorHAnsi" w:cstheme="minorBidi"/>
        </w:rPr>
        <w:t xml:space="preserve">TTC </w:t>
      </w:r>
      <w:r w:rsidRPr="0046071D">
        <w:rPr>
          <w:rFonts w:asciiTheme="minorHAnsi" w:hAnsiTheme="minorHAnsi" w:cstheme="minorBidi"/>
        </w:rPr>
        <w:t xml:space="preserve">/ </w:t>
      </w:r>
      <w:r w:rsidR="009B1983" w:rsidRPr="0046071D">
        <w:rPr>
          <w:rFonts w:asciiTheme="minorHAnsi" w:hAnsiTheme="minorHAnsi" w:cstheme="minorBidi"/>
        </w:rPr>
        <w:t xml:space="preserve">m² </w:t>
      </w:r>
      <w:r w:rsidR="00D50596" w:rsidRPr="0046071D">
        <w:rPr>
          <w:rFonts w:asciiTheme="minorHAnsi" w:hAnsiTheme="minorHAnsi" w:cstheme="minorBidi"/>
        </w:rPr>
        <w:t>SUH</w:t>
      </w:r>
      <w:r w:rsidRPr="0046071D">
        <w:rPr>
          <w:rFonts w:asciiTheme="minorHAnsi" w:hAnsiTheme="minorHAnsi" w:cstheme="minorBidi"/>
        </w:rPr>
        <w:t xml:space="preserve"> (</w:t>
      </w:r>
      <w:r w:rsidR="00940A4E" w:rsidRPr="0046071D">
        <w:rPr>
          <w:rFonts w:asciiTheme="minorHAnsi" w:hAnsiTheme="minorHAnsi" w:cstheme="minorBidi"/>
        </w:rPr>
        <w:t>terrain net</w:t>
      </w:r>
      <w:r w:rsidRPr="0046071D">
        <w:rPr>
          <w:rFonts w:asciiTheme="minorHAnsi" w:hAnsiTheme="minorHAnsi" w:cstheme="minorBidi"/>
        </w:rPr>
        <w:t xml:space="preserve">) </w:t>
      </w:r>
    </w:p>
    <w:p w14:paraId="028A9087" w14:textId="1262AAFB" w:rsidR="00D50596" w:rsidRPr="0046071D" w:rsidRDefault="005702A4" w:rsidP="0046071D">
      <w:pPr>
        <w:pStyle w:val="ListParagraph"/>
        <w:numPr>
          <w:ilvl w:val="0"/>
          <w:numId w:val="10"/>
        </w:numPr>
        <w:tabs>
          <w:tab w:val="left" w:pos="1134"/>
        </w:tabs>
        <w:jc w:val="both"/>
        <w:rPr>
          <w:rFonts w:asciiTheme="minorHAnsi" w:hAnsiTheme="minorHAnsi" w:cstheme="minorBidi"/>
        </w:rPr>
      </w:pPr>
      <w:proofErr w:type="spellStart"/>
      <w:r w:rsidRPr="0046071D">
        <w:rPr>
          <w:rFonts w:asciiTheme="minorHAnsi" w:hAnsiTheme="minorHAnsi" w:cstheme="minorBidi"/>
        </w:rPr>
        <w:t>Quote</w:t>
      </w:r>
      <w:proofErr w:type="spellEnd"/>
      <w:r w:rsidRPr="0046071D">
        <w:rPr>
          <w:rFonts w:asciiTheme="minorHAnsi" w:hAnsiTheme="minorHAnsi" w:cstheme="minorBidi"/>
        </w:rPr>
        <w:t xml:space="preserve"> part </w:t>
      </w:r>
      <w:r w:rsidR="00C42E02" w:rsidRPr="0046071D">
        <w:rPr>
          <w:rFonts w:asciiTheme="minorHAnsi" w:hAnsiTheme="minorHAnsi" w:cstheme="minorBidi"/>
        </w:rPr>
        <w:t xml:space="preserve">Construction : </w:t>
      </w:r>
      <w:r w:rsidR="00BF6DDC" w:rsidRPr="0046071D">
        <w:rPr>
          <w:rFonts w:asciiTheme="minorHAnsi" w:hAnsiTheme="minorHAnsi" w:cstheme="minorBidi"/>
        </w:rPr>
        <w:t>…</w:t>
      </w:r>
      <w:r w:rsidR="00C42E02" w:rsidRPr="0046071D">
        <w:rPr>
          <w:rFonts w:asciiTheme="minorHAnsi" w:hAnsiTheme="minorHAnsi" w:cstheme="minorBidi"/>
        </w:rPr>
        <w:t xml:space="preserve"> € TTC / </w:t>
      </w:r>
      <w:r w:rsidR="009B1983" w:rsidRPr="0046071D">
        <w:rPr>
          <w:rFonts w:asciiTheme="minorHAnsi" w:hAnsiTheme="minorHAnsi" w:cstheme="minorBidi"/>
        </w:rPr>
        <w:t xml:space="preserve">m² </w:t>
      </w:r>
      <w:r w:rsidR="00D50596" w:rsidRPr="0046071D">
        <w:rPr>
          <w:rFonts w:asciiTheme="minorHAnsi" w:hAnsiTheme="minorHAnsi" w:cstheme="minorBidi"/>
        </w:rPr>
        <w:t>SUH</w:t>
      </w:r>
      <w:r w:rsidR="00C42E02" w:rsidRPr="0046071D">
        <w:rPr>
          <w:rFonts w:asciiTheme="minorHAnsi" w:hAnsiTheme="minorHAnsi" w:cstheme="minorBidi"/>
        </w:rPr>
        <w:t xml:space="preserve"> (TVA 17%)</w:t>
      </w:r>
    </w:p>
    <w:p w14:paraId="44335920" w14:textId="1B7DD04C" w:rsidR="003D22DF" w:rsidRPr="00940A4E" w:rsidRDefault="003D22DF" w:rsidP="00C42E02">
      <w:pPr>
        <w:jc w:val="both"/>
        <w:rPr>
          <w:rFonts w:asciiTheme="minorHAnsi" w:hAnsiTheme="minorHAnsi" w:cstheme="minorHAnsi"/>
        </w:rPr>
      </w:pPr>
    </w:p>
    <w:p w14:paraId="66BFAC29" w14:textId="0CA09711" w:rsidR="00C42E02" w:rsidRPr="008549D9" w:rsidRDefault="00C42E02" w:rsidP="00576299">
      <w:pPr>
        <w:pStyle w:val="ListParagraph"/>
        <w:numPr>
          <w:ilvl w:val="0"/>
          <w:numId w:val="6"/>
        </w:numPr>
        <w:jc w:val="both"/>
      </w:pPr>
      <w:r w:rsidRPr="008549D9">
        <w:t>La quote</w:t>
      </w:r>
      <w:r w:rsidR="000E1385" w:rsidRPr="008549D9">
        <w:t>-</w:t>
      </w:r>
      <w:r w:rsidRPr="008549D9">
        <w:t xml:space="preserve">part </w:t>
      </w:r>
      <w:r w:rsidRPr="008549D9">
        <w:rPr>
          <w:i/>
          <w:iCs/>
        </w:rPr>
        <w:t>Construction</w:t>
      </w:r>
      <w:r w:rsidRPr="008549D9">
        <w:t xml:space="preserve"> uniquement sera indexée en fonction de la variation de l’indice semestriel correspondant au coût de la construction publiée par le STATEC. L’indice de base est celui arrêté au moment de</w:t>
      </w:r>
      <w:r w:rsidR="00F87279" w:rsidRPr="008549D9">
        <w:t xml:space="preserve"> la signature de la présente convention </w:t>
      </w:r>
      <w:r w:rsidRPr="008549D9">
        <w:t xml:space="preserve">et correspond à </w:t>
      </w:r>
      <w:r w:rsidRPr="008549D9">
        <w:rPr>
          <w:shd w:val="clear" w:color="auto" w:fill="E7E6E6" w:themeFill="background2"/>
        </w:rPr>
        <w:t>….</w:t>
      </w:r>
    </w:p>
    <w:p w14:paraId="623C9422" w14:textId="1AD5B059" w:rsidR="00C42E02" w:rsidRDefault="00C42E02">
      <w:pPr>
        <w:ind w:left="720"/>
        <w:jc w:val="both"/>
        <w:rPr>
          <w:rFonts w:asciiTheme="minorHAnsi" w:hAnsiTheme="minorHAnsi" w:cstheme="minorBidi"/>
        </w:rPr>
      </w:pPr>
      <w:r w:rsidRPr="004B11FD">
        <w:rPr>
          <w:rFonts w:asciiTheme="minorHAnsi" w:hAnsiTheme="minorHAnsi" w:cstheme="minorBidi"/>
        </w:rPr>
        <w:t>L</w:t>
      </w:r>
      <w:r w:rsidR="000E1385" w:rsidRPr="004B11FD">
        <w:rPr>
          <w:rFonts w:asciiTheme="minorHAnsi" w:hAnsiTheme="minorHAnsi" w:cstheme="minorBidi"/>
        </w:rPr>
        <w:t>’</w:t>
      </w:r>
      <w:r w:rsidRPr="004B11FD">
        <w:rPr>
          <w:rFonts w:asciiTheme="minorHAnsi" w:hAnsiTheme="minorHAnsi" w:cstheme="minorBidi"/>
        </w:rPr>
        <w:t xml:space="preserve">indice </w:t>
      </w:r>
      <w:r w:rsidR="000E1385" w:rsidRPr="004B11FD">
        <w:rPr>
          <w:rFonts w:asciiTheme="minorHAnsi" w:hAnsiTheme="minorHAnsi" w:cstheme="minorBidi"/>
        </w:rPr>
        <w:t xml:space="preserve">applicable </w:t>
      </w:r>
      <w:r w:rsidRPr="004B11FD">
        <w:rPr>
          <w:rFonts w:asciiTheme="minorHAnsi" w:hAnsiTheme="minorHAnsi" w:cstheme="minorBidi"/>
        </w:rPr>
        <w:t xml:space="preserve">sera, pour tous les logements abordables d’un même immeuble, l’indice en vigueur au moment de l’établissement de </w:t>
      </w:r>
      <w:r w:rsidR="00EA38CB">
        <w:rPr>
          <w:rFonts w:asciiTheme="minorHAnsi" w:hAnsiTheme="minorHAnsi" w:cstheme="minorBidi"/>
        </w:rPr>
        <w:t>chaque</w:t>
      </w:r>
      <w:r w:rsidR="00EA38CB" w:rsidRPr="004B11FD">
        <w:rPr>
          <w:rFonts w:asciiTheme="minorHAnsi" w:hAnsiTheme="minorHAnsi" w:cstheme="minorBidi"/>
        </w:rPr>
        <w:t xml:space="preserve"> </w:t>
      </w:r>
      <w:r w:rsidRPr="004B11FD">
        <w:rPr>
          <w:rFonts w:asciiTheme="minorHAnsi" w:hAnsiTheme="minorHAnsi" w:cstheme="minorBidi"/>
        </w:rPr>
        <w:t>facture</w:t>
      </w:r>
      <w:r w:rsidR="00EA38CB">
        <w:rPr>
          <w:rFonts w:asciiTheme="minorHAnsi" w:hAnsiTheme="minorHAnsi" w:cstheme="minorBidi"/>
        </w:rPr>
        <w:t xml:space="preserve"> en relation avec les coûts de construction</w:t>
      </w:r>
      <w:r w:rsidR="000E1385" w:rsidRPr="004B11FD">
        <w:rPr>
          <w:rFonts w:asciiTheme="minorHAnsi" w:hAnsiTheme="minorHAnsi" w:cstheme="minorBidi"/>
        </w:rPr>
        <w:t>.</w:t>
      </w:r>
      <w:r w:rsidR="00EA38CB">
        <w:rPr>
          <w:rFonts w:asciiTheme="minorHAnsi" w:hAnsiTheme="minorHAnsi" w:cstheme="minorBidi"/>
        </w:rPr>
        <w:t xml:space="preserve"> </w:t>
      </w:r>
    </w:p>
    <w:p w14:paraId="59FBE0F5" w14:textId="42CA5994" w:rsidR="00EA38CB" w:rsidRDefault="00EA38CB" w:rsidP="00EA38CB">
      <w:pPr>
        <w:ind w:left="720"/>
        <w:jc w:val="both"/>
        <w:rPr>
          <w:rFonts w:asciiTheme="minorHAnsi" w:hAnsiTheme="minorHAnsi" w:cstheme="minorBidi"/>
        </w:rPr>
      </w:pPr>
      <w:r w:rsidRPr="00EA38CB">
        <w:rPr>
          <w:rFonts w:asciiTheme="minorHAnsi" w:hAnsiTheme="minorHAnsi" w:cstheme="minorBidi"/>
        </w:rPr>
        <w:t xml:space="preserve">La TVA applicable sera celle en vigueur au moment de l’établissement de la facture correspondant </w:t>
      </w:r>
      <w:r w:rsidRPr="00EA38CB">
        <w:rPr>
          <w:rFonts w:asciiTheme="minorHAnsi" w:hAnsiTheme="minorHAnsi" w:cstheme="minorBidi"/>
        </w:rPr>
        <w:lastRenderedPageBreak/>
        <w:t>aux travaux facturés.</w:t>
      </w:r>
    </w:p>
    <w:p w14:paraId="67DB6B4A" w14:textId="1F724535" w:rsidR="00EA38CB" w:rsidRPr="00EA38CB" w:rsidRDefault="00EA38CB" w:rsidP="00EA38CB">
      <w:pPr>
        <w:ind w:left="720"/>
        <w:jc w:val="both"/>
        <w:rPr>
          <w:rFonts w:asciiTheme="minorHAnsi" w:hAnsiTheme="minorHAnsi" w:cstheme="minorBidi"/>
        </w:rPr>
      </w:pPr>
      <w:r w:rsidRPr="00EA38CB">
        <w:rPr>
          <w:rFonts w:asciiTheme="minorHAnsi" w:hAnsiTheme="minorHAnsi" w:cstheme="minorBidi"/>
        </w:rPr>
        <w:t xml:space="preserve">La quote-part Terrain reste fixe à </w:t>
      </w:r>
      <w:r w:rsidR="00BF6DDC" w:rsidRPr="00BF6DDC">
        <w:rPr>
          <w:rFonts w:asciiTheme="minorHAnsi" w:hAnsiTheme="minorHAnsi" w:cstheme="minorBidi"/>
          <w:shd w:val="clear" w:color="auto" w:fill="BFBFBF" w:themeFill="background1" w:themeFillShade="BF"/>
        </w:rPr>
        <w:t>…</w:t>
      </w:r>
      <w:r w:rsidRPr="00EA38CB">
        <w:rPr>
          <w:rFonts w:asciiTheme="minorHAnsi" w:hAnsiTheme="minorHAnsi" w:cstheme="minorBidi"/>
        </w:rPr>
        <w:t xml:space="preserve"> € TTC / m² SUH et n’est pas indexée en fonction de la variation de l’indice semestriel correspondant au coût de la construction publiée par le STATEC.</w:t>
      </w:r>
    </w:p>
    <w:p w14:paraId="39AC8795" w14:textId="77777777" w:rsidR="00C42E02" w:rsidRPr="00940A4E" w:rsidRDefault="00C42E02" w:rsidP="00C42E02">
      <w:pPr>
        <w:jc w:val="both"/>
        <w:rPr>
          <w:rFonts w:asciiTheme="minorHAnsi" w:hAnsiTheme="minorHAnsi" w:cstheme="minorHAnsi"/>
        </w:rPr>
      </w:pPr>
    </w:p>
    <w:p w14:paraId="2ADA3CDE" w14:textId="139959F4" w:rsidR="00C42E02" w:rsidRPr="00616C6B" w:rsidRDefault="00C42E02">
      <w:pPr>
        <w:ind w:left="720"/>
        <w:jc w:val="both"/>
        <w:rPr>
          <w:rFonts w:asciiTheme="minorHAnsi" w:hAnsiTheme="minorHAnsi" w:cstheme="minorBidi"/>
        </w:rPr>
      </w:pPr>
      <w:r w:rsidRPr="004B11FD">
        <w:rPr>
          <w:rFonts w:asciiTheme="minorHAnsi" w:hAnsiTheme="minorHAnsi" w:cstheme="minorBidi"/>
        </w:rPr>
        <w:t xml:space="preserve">Il est expressément convenu que le prix fixé reste </w:t>
      </w:r>
      <w:r w:rsidR="00BA0FF9" w:rsidRPr="004B11FD">
        <w:rPr>
          <w:rFonts w:asciiTheme="minorHAnsi" w:hAnsiTheme="minorHAnsi" w:cstheme="minorBidi"/>
        </w:rPr>
        <w:t>invariable</w:t>
      </w:r>
      <w:r w:rsidR="001141EC">
        <w:rPr>
          <w:rFonts w:asciiTheme="minorHAnsi" w:hAnsiTheme="minorHAnsi" w:cstheme="minorBidi"/>
        </w:rPr>
        <w:t>, à l’exception de l’indexation,</w:t>
      </w:r>
      <w:r w:rsidR="00BA0FF9" w:rsidRPr="004B11FD">
        <w:rPr>
          <w:rFonts w:asciiTheme="minorHAnsi" w:hAnsiTheme="minorHAnsi" w:cstheme="minorBidi"/>
        </w:rPr>
        <w:t xml:space="preserve"> </w:t>
      </w:r>
      <w:r w:rsidRPr="004B11FD">
        <w:rPr>
          <w:rFonts w:asciiTheme="minorHAnsi" w:hAnsiTheme="minorHAnsi" w:cstheme="minorBidi"/>
        </w:rPr>
        <w:t xml:space="preserve">quel que soit la quantité de surfaces annexes réalisées, comme </w:t>
      </w:r>
      <w:r w:rsidR="00CA2ABB" w:rsidRPr="004B11FD">
        <w:rPr>
          <w:rFonts w:asciiTheme="minorHAnsi" w:hAnsiTheme="minorHAnsi" w:cstheme="minorBidi"/>
        </w:rPr>
        <w:t xml:space="preserve">notamment </w:t>
      </w:r>
      <w:r w:rsidRPr="00335DAC">
        <w:rPr>
          <w:rFonts w:asciiTheme="minorHAnsi" w:hAnsiTheme="minorHAnsi" w:cstheme="minorBidi"/>
        </w:rPr>
        <w:t>les espaces verts privés définis dans le PAP, les surfaces ou espaces de circulation, les caves, les  locaux techniques, les locaux poussettes, les locaux vélos, les locaux de dépôts, les locaux poubelles, les locaux dont la hauteur sous plafond est inférieure à 1</w:t>
      </w:r>
      <w:r w:rsidR="001410DC" w:rsidRPr="00335DAC">
        <w:rPr>
          <w:rFonts w:asciiTheme="minorHAnsi" w:hAnsiTheme="minorHAnsi" w:cstheme="minorBidi"/>
        </w:rPr>
        <w:t>,</w:t>
      </w:r>
      <w:r w:rsidRPr="00335DAC">
        <w:rPr>
          <w:rFonts w:asciiTheme="minorHAnsi" w:hAnsiTheme="minorHAnsi" w:cstheme="minorBidi"/>
        </w:rPr>
        <w:t>80</w:t>
      </w:r>
      <w:r w:rsidR="001410DC" w:rsidRPr="00335DAC">
        <w:rPr>
          <w:rFonts w:asciiTheme="minorHAnsi" w:hAnsiTheme="minorHAnsi" w:cstheme="minorBidi"/>
        </w:rPr>
        <w:t> </w:t>
      </w:r>
      <w:r w:rsidRPr="00335DAC">
        <w:rPr>
          <w:rFonts w:asciiTheme="minorHAnsi" w:hAnsiTheme="minorHAnsi" w:cstheme="minorBidi"/>
        </w:rPr>
        <w:t>m, et de manière générale toutes les surfaces non aménageables nécessaires à l’exploitation et au bon fonctionnement des bâtiments.</w:t>
      </w:r>
    </w:p>
    <w:p w14:paraId="115DCD0B" w14:textId="77777777" w:rsidR="00C42E02" w:rsidRPr="00940A4E" w:rsidRDefault="00C42E02" w:rsidP="00C42E02">
      <w:pPr>
        <w:pStyle w:val="BodyText"/>
        <w:spacing w:before="6"/>
        <w:jc w:val="both"/>
        <w:rPr>
          <w:rFonts w:asciiTheme="minorHAnsi" w:hAnsiTheme="minorHAnsi" w:cstheme="minorHAnsi"/>
          <w:sz w:val="22"/>
          <w:szCs w:val="22"/>
        </w:rPr>
      </w:pPr>
    </w:p>
    <w:p w14:paraId="568FE1E8" w14:textId="3848F5CF" w:rsidR="00C42E02" w:rsidRPr="00616C6B" w:rsidRDefault="00C42E02" w:rsidP="00EA38CB">
      <w:pPr>
        <w:pStyle w:val="ListParagraph"/>
        <w:numPr>
          <w:ilvl w:val="0"/>
          <w:numId w:val="6"/>
        </w:numPr>
        <w:jc w:val="both"/>
        <w:rPr>
          <w:rFonts w:asciiTheme="minorHAnsi" w:hAnsiTheme="minorHAnsi" w:cstheme="minorBidi"/>
          <w:lang w:val="fr-LU"/>
        </w:rPr>
      </w:pPr>
      <w:r w:rsidRPr="009E001E">
        <w:rPr>
          <w:rFonts w:asciiTheme="minorHAnsi" w:hAnsiTheme="minorHAnsi" w:cstheme="minorBidi"/>
        </w:rPr>
        <w:t xml:space="preserve">Sur base d’un avant-projet sommaire tenant compte du </w:t>
      </w:r>
      <w:r w:rsidR="001410DC" w:rsidRPr="009E001E">
        <w:rPr>
          <w:rFonts w:asciiTheme="minorHAnsi" w:hAnsiTheme="minorHAnsi" w:cstheme="minorBidi"/>
          <w:i/>
          <w:iCs/>
        </w:rPr>
        <w:t>Cahier des charges pour le développement de logements abordables</w:t>
      </w:r>
      <w:r w:rsidR="001410DC" w:rsidRPr="009E001E" w:rsidDel="001410DC">
        <w:rPr>
          <w:rFonts w:asciiTheme="minorHAnsi" w:hAnsiTheme="minorHAnsi" w:cstheme="minorBidi"/>
        </w:rPr>
        <w:t xml:space="preserve"> </w:t>
      </w:r>
      <w:r w:rsidR="009B1983" w:rsidRPr="009E001E">
        <w:rPr>
          <w:rFonts w:asciiTheme="minorHAnsi" w:hAnsiTheme="minorHAnsi" w:cstheme="minorBidi"/>
        </w:rPr>
        <w:t xml:space="preserve">du </w:t>
      </w:r>
      <w:r w:rsidR="007A67A8">
        <w:rPr>
          <w:rFonts w:asciiTheme="minorHAnsi" w:hAnsiTheme="minorHAnsi" w:cstheme="minorBidi"/>
        </w:rPr>
        <w:t>M</w:t>
      </w:r>
      <w:r w:rsidR="009B1983" w:rsidRPr="009E001E">
        <w:rPr>
          <w:rFonts w:asciiTheme="minorHAnsi" w:hAnsiTheme="minorHAnsi" w:cstheme="minorBidi"/>
        </w:rPr>
        <w:t xml:space="preserve">inistère du </w:t>
      </w:r>
      <w:r w:rsidR="007A67A8">
        <w:rPr>
          <w:rFonts w:asciiTheme="minorHAnsi" w:hAnsiTheme="minorHAnsi" w:cstheme="minorBidi"/>
        </w:rPr>
        <w:t>l</w:t>
      </w:r>
      <w:r w:rsidR="009B1983" w:rsidRPr="009E001E">
        <w:rPr>
          <w:rFonts w:asciiTheme="minorHAnsi" w:hAnsiTheme="minorHAnsi" w:cstheme="minorBidi"/>
        </w:rPr>
        <w:t>ogement</w:t>
      </w:r>
      <w:r w:rsidR="009E001E" w:rsidRPr="009E001E">
        <w:rPr>
          <w:rFonts w:asciiTheme="minorHAnsi" w:hAnsiTheme="minorHAnsi" w:cstheme="minorBidi"/>
        </w:rPr>
        <w:t xml:space="preserve"> et d’une notice descriptive sommaire des logements précisant les typologies, surfaces de logements, finitions et équipements de ces logements</w:t>
      </w:r>
      <w:r w:rsidRPr="009E001E">
        <w:rPr>
          <w:rFonts w:asciiTheme="minorHAnsi" w:hAnsiTheme="minorHAnsi" w:cstheme="minorBidi"/>
        </w:rPr>
        <w:t>, réalisé au moins</w:t>
      </w:r>
      <w:r w:rsidR="006F2E94" w:rsidRPr="009E001E">
        <w:rPr>
          <w:rFonts w:asciiTheme="minorHAnsi" w:hAnsiTheme="minorHAnsi" w:cstheme="minorBidi"/>
        </w:rPr>
        <w:t xml:space="preserve"> </w:t>
      </w:r>
      <w:r w:rsidRPr="009E001E">
        <w:rPr>
          <w:rFonts w:asciiTheme="minorHAnsi" w:hAnsiTheme="minorHAnsi" w:cstheme="minorBidi"/>
        </w:rPr>
        <w:t>18 mois avant le démarrage prévu des travaux, pour les lots </w:t>
      </w:r>
      <w:r w:rsidR="00BF6DDC" w:rsidRPr="00BF6DDC">
        <w:rPr>
          <w:rFonts w:asciiTheme="minorHAnsi" w:hAnsiTheme="minorHAnsi" w:cstheme="minorBidi"/>
          <w:shd w:val="clear" w:color="auto" w:fill="BFBFBF" w:themeFill="background1" w:themeFillShade="BF"/>
        </w:rPr>
        <w:t>…</w:t>
      </w:r>
      <w:r w:rsidRPr="009E001E">
        <w:rPr>
          <w:rFonts w:asciiTheme="minorHAnsi" w:hAnsiTheme="minorHAnsi" w:cstheme="minorBidi"/>
        </w:rPr>
        <w:t>, l’initiateur du projet propos</w:t>
      </w:r>
      <w:r w:rsidR="006820F8" w:rsidRPr="009E001E">
        <w:rPr>
          <w:rFonts w:asciiTheme="minorHAnsi" w:hAnsiTheme="minorHAnsi" w:cstheme="minorBidi"/>
        </w:rPr>
        <w:t>e</w:t>
      </w:r>
      <w:r w:rsidRPr="009E001E">
        <w:rPr>
          <w:rFonts w:asciiTheme="minorHAnsi" w:hAnsiTheme="minorHAnsi" w:cstheme="minorBidi"/>
        </w:rPr>
        <w:t xml:space="preserve"> à l’acquisition les logements abordables dans l’ordre de priorité </w:t>
      </w:r>
      <w:r w:rsidR="006820F8" w:rsidRPr="009E001E">
        <w:rPr>
          <w:rFonts w:asciiTheme="minorHAnsi" w:hAnsiTheme="minorHAnsi" w:cstheme="minorBidi"/>
        </w:rPr>
        <w:t xml:space="preserve">décrit </w:t>
      </w:r>
      <w:r w:rsidRPr="009E001E">
        <w:rPr>
          <w:rFonts w:asciiTheme="minorHAnsi" w:hAnsiTheme="minorHAnsi" w:cstheme="minorBidi"/>
        </w:rPr>
        <w:t>ci-dessous :</w:t>
      </w:r>
    </w:p>
    <w:p w14:paraId="68DA62FC" w14:textId="77777777" w:rsidR="00C42E02" w:rsidRPr="00940A4E" w:rsidRDefault="00C42E02" w:rsidP="00C42E02">
      <w:pPr>
        <w:jc w:val="both"/>
        <w:rPr>
          <w:rFonts w:asciiTheme="minorHAnsi" w:hAnsiTheme="minorHAnsi" w:cstheme="minorHAnsi"/>
          <w:lang w:val="fr-LU"/>
        </w:rPr>
      </w:pPr>
    </w:p>
    <w:p w14:paraId="1D14585B" w14:textId="6F71746D" w:rsidR="00C42E02" w:rsidRPr="00616C6B" w:rsidRDefault="00C42E02" w:rsidP="0046071D">
      <w:pPr>
        <w:pStyle w:val="ListParagraph"/>
        <w:numPr>
          <w:ilvl w:val="0"/>
          <w:numId w:val="7"/>
        </w:numPr>
        <w:ind w:left="993"/>
        <w:jc w:val="both"/>
        <w:rPr>
          <w:rFonts w:asciiTheme="minorHAnsi" w:hAnsiTheme="minorHAnsi" w:cstheme="minorBidi"/>
        </w:rPr>
      </w:pPr>
      <w:r w:rsidRPr="004B11FD">
        <w:rPr>
          <w:rFonts w:asciiTheme="minorHAnsi" w:hAnsiTheme="minorHAnsi" w:cstheme="minorBidi"/>
        </w:rPr>
        <w:t xml:space="preserve">La </w:t>
      </w:r>
      <w:r w:rsidR="00F87279" w:rsidRPr="004B11FD">
        <w:rPr>
          <w:rFonts w:asciiTheme="minorHAnsi" w:hAnsiTheme="minorHAnsi" w:cstheme="minorBidi"/>
        </w:rPr>
        <w:t xml:space="preserve">Commune </w:t>
      </w:r>
      <w:r w:rsidRPr="004B11FD">
        <w:rPr>
          <w:rFonts w:asciiTheme="minorHAnsi" w:hAnsiTheme="minorHAnsi" w:cstheme="minorBidi"/>
        </w:rPr>
        <w:t xml:space="preserve">dispose de 60 jours calendriers pour lever l’option d’acquisition des logements abordables du lot concerné, aux fins de mise en location ou de cession à des personnes répondant aux conditions prévues par la loi modifiée du 25 février 1979 concernant l’aide au logement, aux conditions et prix établis dans la présente convention. La </w:t>
      </w:r>
      <w:r w:rsidR="007A67A8">
        <w:rPr>
          <w:rFonts w:asciiTheme="minorHAnsi" w:hAnsiTheme="minorHAnsi" w:cstheme="minorBidi"/>
        </w:rPr>
        <w:t>Commune</w:t>
      </w:r>
      <w:r w:rsidRPr="004B11FD">
        <w:rPr>
          <w:rFonts w:asciiTheme="minorHAnsi" w:hAnsiTheme="minorHAnsi" w:cstheme="minorBidi"/>
        </w:rPr>
        <w:t xml:space="preserve"> informe de sa dé</w:t>
      </w:r>
      <w:r w:rsidRPr="00335DAC">
        <w:rPr>
          <w:rFonts w:asciiTheme="minorHAnsi" w:hAnsiTheme="minorHAnsi" w:cstheme="minorBidi"/>
        </w:rPr>
        <w:t xml:space="preserve">cision l’Initiateur du projet </w:t>
      </w:r>
      <w:r w:rsidR="001410DC" w:rsidRPr="00335DAC">
        <w:rPr>
          <w:rFonts w:asciiTheme="minorHAnsi" w:hAnsiTheme="minorHAnsi" w:cstheme="minorBidi"/>
        </w:rPr>
        <w:t xml:space="preserve">et </w:t>
      </w:r>
      <w:r w:rsidRPr="00335DAC">
        <w:rPr>
          <w:rFonts w:asciiTheme="minorHAnsi" w:hAnsiTheme="minorHAnsi" w:cstheme="minorBidi"/>
        </w:rPr>
        <w:t xml:space="preserve">l’État, représenté par son ministre </w:t>
      </w:r>
      <w:r w:rsidR="007A67A8">
        <w:rPr>
          <w:rFonts w:asciiTheme="minorHAnsi" w:hAnsiTheme="minorHAnsi" w:cstheme="minorBidi"/>
        </w:rPr>
        <w:t>ayant le</w:t>
      </w:r>
      <w:r w:rsidRPr="00335DAC">
        <w:rPr>
          <w:rFonts w:asciiTheme="minorHAnsi" w:hAnsiTheme="minorHAnsi" w:cstheme="minorBidi"/>
        </w:rPr>
        <w:t xml:space="preserve"> Logement</w:t>
      </w:r>
      <w:r w:rsidR="007A67A8">
        <w:rPr>
          <w:rFonts w:asciiTheme="minorHAnsi" w:hAnsiTheme="minorHAnsi" w:cstheme="minorBidi"/>
        </w:rPr>
        <w:t xml:space="preserve"> dans ses attributions</w:t>
      </w:r>
      <w:r w:rsidRPr="00335DAC">
        <w:rPr>
          <w:rFonts w:asciiTheme="minorHAnsi" w:hAnsiTheme="minorHAnsi" w:cstheme="minorBidi"/>
        </w:rPr>
        <w:t>, par courrier recommandé.</w:t>
      </w:r>
    </w:p>
    <w:p w14:paraId="308E69BC" w14:textId="77777777" w:rsidR="00C42E02" w:rsidRPr="00940A4E" w:rsidRDefault="00C42E02" w:rsidP="0046071D">
      <w:pPr>
        <w:ind w:left="993"/>
        <w:jc w:val="both"/>
        <w:rPr>
          <w:rFonts w:asciiTheme="minorHAnsi" w:hAnsiTheme="minorHAnsi" w:cstheme="minorHAnsi"/>
        </w:rPr>
      </w:pPr>
    </w:p>
    <w:p w14:paraId="627B207F" w14:textId="31F96A6E" w:rsidR="00C42E02" w:rsidRPr="00616C6B" w:rsidRDefault="00C42E02" w:rsidP="0046071D">
      <w:pPr>
        <w:pStyle w:val="ListParagraph"/>
        <w:numPr>
          <w:ilvl w:val="0"/>
          <w:numId w:val="7"/>
        </w:numPr>
        <w:ind w:left="993"/>
        <w:jc w:val="both"/>
        <w:rPr>
          <w:rFonts w:asciiTheme="minorHAnsi" w:hAnsiTheme="minorHAnsi" w:cstheme="minorBidi"/>
        </w:rPr>
      </w:pPr>
      <w:r w:rsidRPr="004B11FD">
        <w:rPr>
          <w:rFonts w:asciiTheme="minorHAnsi" w:hAnsiTheme="minorHAnsi" w:cstheme="minorBidi"/>
        </w:rPr>
        <w:t xml:space="preserve">Si la </w:t>
      </w:r>
      <w:r w:rsidR="00F87279" w:rsidRPr="004B11FD">
        <w:rPr>
          <w:rFonts w:asciiTheme="minorHAnsi" w:hAnsiTheme="minorHAnsi" w:cstheme="minorBidi"/>
        </w:rPr>
        <w:t xml:space="preserve">Commune </w:t>
      </w:r>
      <w:r w:rsidRPr="004B11FD">
        <w:rPr>
          <w:rFonts w:asciiTheme="minorHAnsi" w:hAnsiTheme="minorHAnsi" w:cstheme="minorBidi"/>
        </w:rPr>
        <w:t>renonce à l’acquisition de tout ou d’une partie des logements abordables du lot concerné, l’acquisition des logements abordables restants du lot concerné est proposée par l’Initiateur du projet par lettre recommandée à l’État, qui a 60 jours calendriers pour manifester son intérêt, aux conditions et prix établis dans la présente convention. Il est expressément convenu que</w:t>
      </w:r>
      <w:r w:rsidRPr="00335DAC">
        <w:rPr>
          <w:rFonts w:asciiTheme="minorHAnsi" w:hAnsiTheme="minorHAnsi" w:cstheme="minorBidi"/>
        </w:rPr>
        <w:t xml:space="preserve"> l’État peut se faire substituer par un promoteur public ou un établissement public de son choix pour ces acquisitions.</w:t>
      </w:r>
    </w:p>
    <w:p w14:paraId="289A81C1" w14:textId="77777777" w:rsidR="00C42E02" w:rsidRPr="00940A4E" w:rsidRDefault="00C42E02" w:rsidP="0046071D">
      <w:pPr>
        <w:ind w:left="993"/>
        <w:jc w:val="both"/>
        <w:rPr>
          <w:rFonts w:asciiTheme="minorHAnsi" w:hAnsiTheme="minorHAnsi" w:cstheme="minorHAnsi"/>
        </w:rPr>
      </w:pPr>
    </w:p>
    <w:p w14:paraId="4A7085E1" w14:textId="459EA41C" w:rsidR="00C42E02" w:rsidRPr="00616C6B" w:rsidRDefault="00C42E02" w:rsidP="0046071D">
      <w:pPr>
        <w:pStyle w:val="ListParagraph"/>
        <w:numPr>
          <w:ilvl w:val="0"/>
          <w:numId w:val="7"/>
        </w:numPr>
        <w:ind w:left="993"/>
        <w:jc w:val="both"/>
        <w:rPr>
          <w:rFonts w:asciiTheme="minorHAnsi" w:hAnsiTheme="minorHAnsi" w:cstheme="minorBidi"/>
        </w:rPr>
      </w:pPr>
      <w:r w:rsidRPr="004B11FD">
        <w:rPr>
          <w:rFonts w:asciiTheme="minorHAnsi" w:hAnsiTheme="minorHAnsi" w:cstheme="minorBidi"/>
        </w:rPr>
        <w:t xml:space="preserve">Si la </w:t>
      </w:r>
      <w:r w:rsidR="00F87279" w:rsidRPr="004B11FD">
        <w:rPr>
          <w:rFonts w:asciiTheme="minorHAnsi" w:hAnsiTheme="minorHAnsi" w:cstheme="minorBidi"/>
        </w:rPr>
        <w:t xml:space="preserve">Commune </w:t>
      </w:r>
      <w:r w:rsidRPr="004B11FD">
        <w:rPr>
          <w:rFonts w:asciiTheme="minorHAnsi" w:hAnsiTheme="minorHAnsi" w:cstheme="minorBidi"/>
        </w:rPr>
        <w:t>et l’Etat renoncent à l’acquisition des logements abordables du lot concerné, l’Initiateur du projet s’engage à réserver les logements abordables de celui-ci, aux conditions et prix fixés ci-avant dans la présente convention, à des personnes répondant aux conditions d'octroi des primes de construction ou d'acquisition prévues par la loi modifiée du 25 février 1979 concern</w:t>
      </w:r>
      <w:r w:rsidRPr="00335DAC">
        <w:rPr>
          <w:rFonts w:asciiTheme="minorHAnsi" w:hAnsiTheme="minorHAnsi" w:cstheme="minorBidi"/>
        </w:rPr>
        <w:t xml:space="preserve">ant l'aide au logement. </w:t>
      </w:r>
    </w:p>
    <w:p w14:paraId="73CC1E8F" w14:textId="19365D87" w:rsidR="00DC36B7" w:rsidRDefault="00DC36B7" w:rsidP="00C42E02">
      <w:pPr>
        <w:jc w:val="both"/>
        <w:rPr>
          <w:rFonts w:asciiTheme="minorHAnsi" w:hAnsiTheme="minorHAnsi" w:cstheme="minorHAnsi"/>
        </w:rPr>
      </w:pPr>
    </w:p>
    <w:p w14:paraId="55AEC4B5" w14:textId="1E2B399C" w:rsidR="002733E8" w:rsidRPr="00576299" w:rsidRDefault="002733E8" w:rsidP="00C42E02">
      <w:pPr>
        <w:jc w:val="both"/>
        <w:rPr>
          <w:rFonts w:asciiTheme="minorHAnsi" w:hAnsiTheme="minorHAnsi" w:cstheme="minorHAnsi"/>
          <w:b/>
        </w:rPr>
      </w:pPr>
      <w:r w:rsidRPr="00576299">
        <w:rPr>
          <w:rFonts w:asciiTheme="minorHAnsi" w:hAnsiTheme="minorHAnsi" w:cstheme="minorHAnsi"/>
          <w:b/>
          <w:highlight w:val="lightGray"/>
        </w:rPr>
        <w:t>[</w:t>
      </w:r>
      <w:proofErr w:type="gramStart"/>
      <w:r w:rsidRPr="00576299">
        <w:rPr>
          <w:rFonts w:asciiTheme="minorHAnsi" w:hAnsiTheme="minorHAnsi" w:cstheme="minorHAnsi"/>
          <w:b/>
          <w:highlight w:val="lightGray"/>
        </w:rPr>
        <w:t>choisir</w:t>
      </w:r>
      <w:proofErr w:type="gramEnd"/>
      <w:r w:rsidRPr="00576299">
        <w:rPr>
          <w:rFonts w:asciiTheme="minorHAnsi" w:hAnsiTheme="minorHAnsi" w:cstheme="minorHAnsi"/>
          <w:b/>
          <w:highlight w:val="lightGray"/>
        </w:rPr>
        <w:t xml:space="preserve"> l’hypothèse qui convient, s’il s’agit d’un promoteur public (6) ou d’un </w:t>
      </w:r>
      <w:proofErr w:type="spellStart"/>
      <w:r w:rsidRPr="00576299">
        <w:rPr>
          <w:rFonts w:asciiTheme="minorHAnsi" w:hAnsiTheme="minorHAnsi" w:cstheme="minorHAnsi"/>
          <w:b/>
          <w:highlight w:val="lightGray"/>
        </w:rPr>
        <w:t>acquèreur</w:t>
      </w:r>
      <w:proofErr w:type="spellEnd"/>
      <w:r w:rsidRPr="00576299">
        <w:rPr>
          <w:rFonts w:asciiTheme="minorHAnsi" w:hAnsiTheme="minorHAnsi" w:cstheme="minorHAnsi"/>
          <w:b/>
          <w:highlight w:val="lightGray"/>
        </w:rPr>
        <w:t xml:space="preserve"> conformément à</w:t>
      </w:r>
      <w:r w:rsidRPr="00576299">
        <w:rPr>
          <w:b/>
          <w:highlight w:val="lightGray"/>
        </w:rPr>
        <w:t xml:space="preserve"> </w:t>
      </w:r>
      <w:r w:rsidRPr="00576299">
        <w:rPr>
          <w:rFonts w:asciiTheme="minorHAnsi" w:hAnsiTheme="minorHAnsi" w:cstheme="minorHAnsi"/>
          <w:b/>
          <w:highlight w:val="lightGray"/>
        </w:rPr>
        <w:t>la loi modifiée du 25 février 1979 (7)]</w:t>
      </w:r>
      <w:r w:rsidRPr="00576299">
        <w:rPr>
          <w:rFonts w:asciiTheme="minorHAnsi" w:hAnsiTheme="minorHAnsi" w:cstheme="minorHAnsi"/>
          <w:b/>
        </w:rPr>
        <w:t xml:space="preserve"> </w:t>
      </w:r>
    </w:p>
    <w:p w14:paraId="25E624E0" w14:textId="3CE38CE7" w:rsidR="00C42E02" w:rsidRPr="00DC36B7" w:rsidRDefault="00DC36B7" w:rsidP="007A67A8">
      <w:pPr>
        <w:pStyle w:val="ListParagraph"/>
        <w:numPr>
          <w:ilvl w:val="0"/>
          <w:numId w:val="6"/>
        </w:numPr>
        <w:jc w:val="both"/>
      </w:pPr>
      <w:r w:rsidRPr="00576299">
        <w:rPr>
          <w:rFonts w:asciiTheme="minorHAnsi" w:hAnsiTheme="minorHAnsi" w:cstheme="minorBidi"/>
          <w:bCs/>
        </w:rPr>
        <w:t>Si l</w:t>
      </w:r>
      <w:r w:rsidR="00F4258D" w:rsidRPr="00576299">
        <w:rPr>
          <w:rFonts w:asciiTheme="minorHAnsi" w:hAnsiTheme="minorHAnsi" w:cstheme="minorBidi"/>
          <w:bCs/>
        </w:rPr>
        <w:t>’acqué</w:t>
      </w:r>
      <w:r w:rsidR="00BD0FA7" w:rsidRPr="00576299">
        <w:rPr>
          <w:rFonts w:asciiTheme="minorHAnsi" w:hAnsiTheme="minorHAnsi" w:cstheme="minorBidi"/>
          <w:bCs/>
        </w:rPr>
        <w:t>reur est un promoteur public</w:t>
      </w:r>
      <w:r w:rsidRPr="00576299">
        <w:rPr>
          <w:rFonts w:asciiTheme="minorHAnsi" w:hAnsiTheme="minorHAnsi" w:cstheme="minorBidi"/>
          <w:bCs/>
        </w:rPr>
        <w:t xml:space="preserve"> et </w:t>
      </w:r>
      <w:r w:rsidRPr="008549D9">
        <w:t>c</w:t>
      </w:r>
      <w:r w:rsidR="00C42E02" w:rsidRPr="008549D9">
        <w:t>ompte</w:t>
      </w:r>
      <w:r w:rsidR="00C42E02" w:rsidRPr="004B11FD">
        <w:t xml:space="preserve"> tenu des procédures en vigueur pour la demande d’une Aide à la Pierre</w:t>
      </w:r>
      <w:r w:rsidR="006820F8" w:rsidRPr="004B11FD">
        <w:t xml:space="preserve"> (ci-après « APD »)</w:t>
      </w:r>
      <w:r w:rsidR="00C42E02" w:rsidRPr="004B11FD">
        <w:t xml:space="preserve"> auprès du </w:t>
      </w:r>
      <w:r w:rsidR="007A67A8">
        <w:t>M</w:t>
      </w:r>
      <w:r w:rsidR="009B1983" w:rsidRPr="004B11FD">
        <w:t xml:space="preserve">inistère du </w:t>
      </w:r>
      <w:r w:rsidR="007A67A8">
        <w:t>l</w:t>
      </w:r>
      <w:r w:rsidR="009B1983" w:rsidRPr="004B11FD">
        <w:t>ogement,</w:t>
      </w:r>
      <w:r w:rsidR="00C42E02" w:rsidRPr="00335DAC">
        <w:t xml:space="preserve"> l’</w:t>
      </w:r>
      <w:r w:rsidR="0059206A" w:rsidRPr="00335DAC">
        <w:t>I</w:t>
      </w:r>
      <w:r w:rsidR="00C42E02" w:rsidRPr="00335DAC">
        <w:t>nitiateur du projet s’engage à fournir à l’acquéreur</w:t>
      </w:r>
      <w:r w:rsidR="00E350A1" w:rsidRPr="00335DAC">
        <w:t xml:space="preserve"> </w:t>
      </w:r>
      <w:r w:rsidR="00C42E02" w:rsidRPr="00335DAC">
        <w:t>l’ensemble des données et caractéristiques architecturales, des surfaces détaillées et de coûts estimatifs de construction, pour chacun des lots dédiés au logement abordable. Ces dossiers sont à présenter lors de l’élaboration des dossiers APD et avant la demande d’autorisation de bâtir.</w:t>
      </w:r>
    </w:p>
    <w:p w14:paraId="05423AAD" w14:textId="77777777" w:rsidR="00BD0FA7" w:rsidRPr="00940A4E" w:rsidRDefault="00BD0FA7" w:rsidP="007A67A8">
      <w:pPr>
        <w:jc w:val="both"/>
        <w:rPr>
          <w:rFonts w:asciiTheme="minorHAnsi" w:hAnsiTheme="minorHAnsi" w:cstheme="minorHAnsi"/>
        </w:rPr>
      </w:pPr>
    </w:p>
    <w:p w14:paraId="0C9BE8CD" w14:textId="159643AC" w:rsidR="00BD0FA7" w:rsidRPr="00576299" w:rsidRDefault="009E001E" w:rsidP="00EA38CB">
      <w:pPr>
        <w:pStyle w:val="ListParagraph"/>
        <w:numPr>
          <w:ilvl w:val="0"/>
          <w:numId w:val="6"/>
        </w:numPr>
        <w:jc w:val="both"/>
        <w:rPr>
          <w:rFonts w:asciiTheme="minorHAnsi" w:hAnsiTheme="minorHAnsi" w:cstheme="minorBidi"/>
          <w:bCs/>
        </w:rPr>
      </w:pPr>
      <w:r w:rsidRPr="00576299">
        <w:rPr>
          <w:rFonts w:asciiTheme="minorHAnsi" w:hAnsiTheme="minorHAnsi" w:cstheme="minorBidi"/>
          <w:bCs/>
        </w:rPr>
        <w:t>Si l</w:t>
      </w:r>
      <w:r w:rsidR="00BD0FA7" w:rsidRPr="00576299">
        <w:rPr>
          <w:rFonts w:asciiTheme="minorHAnsi" w:hAnsiTheme="minorHAnsi" w:cstheme="minorBidi"/>
          <w:bCs/>
        </w:rPr>
        <w:t xml:space="preserve">es acquéreurs sont des personnes répondant aux conditions d'octroi des primes de </w:t>
      </w:r>
      <w:r w:rsidR="00BD0FA7" w:rsidRPr="00576299">
        <w:rPr>
          <w:rFonts w:asciiTheme="minorHAnsi" w:hAnsiTheme="minorHAnsi" w:cstheme="minorBidi"/>
          <w:bCs/>
        </w:rPr>
        <w:lastRenderedPageBreak/>
        <w:t xml:space="preserve">construction ou d'acquisition prévues par la loi modifiée du 25 février 1979 concernant l'aide au </w:t>
      </w:r>
      <w:r w:rsidRPr="00576299">
        <w:rPr>
          <w:rFonts w:asciiTheme="minorHAnsi" w:hAnsiTheme="minorHAnsi" w:cstheme="minorBidi"/>
          <w:bCs/>
        </w:rPr>
        <w:t>logement, les conditions suivantes sont applicables</w:t>
      </w:r>
      <w:r w:rsidR="00957786" w:rsidRPr="00576299">
        <w:rPr>
          <w:rFonts w:asciiTheme="minorHAnsi" w:hAnsiTheme="minorHAnsi" w:cstheme="minorBidi"/>
          <w:bCs/>
        </w:rPr>
        <w:t> :</w:t>
      </w:r>
    </w:p>
    <w:p w14:paraId="2D251581" w14:textId="7968EA9F" w:rsidR="00BD0FA7" w:rsidRPr="00CD53EE" w:rsidRDefault="00BD0FA7" w:rsidP="00CD53EE">
      <w:pPr>
        <w:pStyle w:val="ListParagraph"/>
        <w:ind w:left="709"/>
        <w:jc w:val="both"/>
        <w:rPr>
          <w:rFonts w:asciiTheme="minorHAnsi" w:hAnsiTheme="minorHAnsi" w:cstheme="minorHAnsi"/>
          <w:b/>
        </w:rPr>
      </w:pPr>
    </w:p>
    <w:p w14:paraId="7A289931" w14:textId="77777777" w:rsidR="00C42E02" w:rsidRPr="00940A4E" w:rsidRDefault="00C42E02" w:rsidP="00C42E02">
      <w:pPr>
        <w:jc w:val="both"/>
        <w:rPr>
          <w:rFonts w:asciiTheme="minorHAnsi" w:hAnsiTheme="minorHAnsi" w:cstheme="minorHAnsi"/>
        </w:rPr>
      </w:pPr>
    </w:p>
    <w:p w14:paraId="0289F626" w14:textId="0BEBF45F" w:rsidR="00C42E02" w:rsidRDefault="00C42E02" w:rsidP="00616C6B">
      <w:pPr>
        <w:pStyle w:val="ListParagraph"/>
        <w:numPr>
          <w:ilvl w:val="1"/>
          <w:numId w:val="8"/>
        </w:numPr>
        <w:jc w:val="both"/>
        <w:rPr>
          <w:rFonts w:asciiTheme="minorHAnsi" w:hAnsiTheme="minorHAnsi" w:cstheme="minorBidi"/>
        </w:rPr>
      </w:pPr>
      <w:r w:rsidRPr="00616C6B">
        <w:rPr>
          <w:rFonts w:asciiTheme="minorHAnsi" w:hAnsiTheme="minorHAnsi" w:cstheme="minorBidi"/>
        </w:rPr>
        <w:t xml:space="preserve">Pour chaque </w:t>
      </w:r>
      <w:r w:rsidR="00957786">
        <w:rPr>
          <w:rFonts w:asciiTheme="minorHAnsi" w:hAnsiTheme="minorHAnsi" w:cstheme="minorBidi"/>
        </w:rPr>
        <w:t xml:space="preserve">logement </w:t>
      </w:r>
      <w:r w:rsidR="00397BFB">
        <w:rPr>
          <w:rFonts w:asciiTheme="minorHAnsi" w:hAnsiTheme="minorHAnsi" w:cstheme="minorBidi"/>
        </w:rPr>
        <w:t>abordable</w:t>
      </w:r>
      <w:r w:rsidRPr="00616C6B">
        <w:rPr>
          <w:rFonts w:asciiTheme="minorHAnsi" w:hAnsiTheme="minorHAnsi" w:cstheme="minorBidi"/>
        </w:rPr>
        <w:t>, l’Initiateur du projet est libéré de ses engagements dès notification à la Commune d’une copie de l’acte de vente concernant ledit logement et démontrant le respect de ses obligations.</w:t>
      </w:r>
    </w:p>
    <w:p w14:paraId="2444A323" w14:textId="77777777" w:rsidR="00BB15C2" w:rsidRDefault="00BB15C2" w:rsidP="00BB15C2">
      <w:pPr>
        <w:pStyle w:val="ListParagraph"/>
        <w:ind w:left="1440"/>
        <w:jc w:val="both"/>
        <w:rPr>
          <w:rFonts w:asciiTheme="minorHAnsi" w:hAnsiTheme="minorHAnsi" w:cstheme="minorBidi"/>
        </w:rPr>
      </w:pPr>
    </w:p>
    <w:p w14:paraId="6B61DF9D" w14:textId="31115058" w:rsidR="003F4E5C" w:rsidRPr="00397BFB" w:rsidRDefault="00B6690E" w:rsidP="00767140">
      <w:pPr>
        <w:pStyle w:val="ListParagraph"/>
        <w:numPr>
          <w:ilvl w:val="1"/>
          <w:numId w:val="8"/>
        </w:numPr>
        <w:jc w:val="both"/>
        <w:rPr>
          <w:rFonts w:asciiTheme="minorHAnsi" w:hAnsiTheme="minorHAnsi" w:cstheme="minorBidi"/>
        </w:rPr>
      </w:pPr>
      <w:r w:rsidRPr="00397BFB">
        <w:rPr>
          <w:rFonts w:asciiTheme="minorHAnsi" w:hAnsiTheme="minorHAnsi" w:cstheme="minorBidi"/>
        </w:rPr>
        <w:t>T</w:t>
      </w:r>
      <w:r w:rsidR="00F12AA5" w:rsidRPr="00397BFB">
        <w:rPr>
          <w:rFonts w:asciiTheme="minorHAnsi" w:hAnsiTheme="minorHAnsi" w:cstheme="minorBidi"/>
        </w:rPr>
        <w:t>out acte translatif de propriété ou de droits réels relatifs à un logement</w:t>
      </w:r>
      <w:r w:rsidRPr="00397BFB">
        <w:rPr>
          <w:rFonts w:asciiTheme="minorHAnsi" w:hAnsiTheme="minorHAnsi" w:cstheme="minorBidi"/>
        </w:rPr>
        <w:t xml:space="preserve"> des lots dédiés au logement abordable </w:t>
      </w:r>
      <w:r w:rsidR="0046071D" w:rsidRPr="00397BFB">
        <w:rPr>
          <w:rFonts w:asciiTheme="minorHAnsi" w:hAnsiTheme="minorHAnsi" w:cstheme="minorBidi"/>
        </w:rPr>
        <w:t>non conforme aux clauses et conditions exposé</w:t>
      </w:r>
      <w:r w:rsidRPr="00397BFB">
        <w:rPr>
          <w:rFonts w:asciiTheme="minorHAnsi" w:hAnsiTheme="minorHAnsi" w:cstheme="minorBidi"/>
        </w:rPr>
        <w:t>es dans la présente convention,</w:t>
      </w:r>
      <w:r w:rsidR="00BF158F" w:rsidRPr="00397BFB">
        <w:rPr>
          <w:rFonts w:asciiTheme="minorHAnsi" w:hAnsiTheme="minorHAnsi" w:cstheme="minorBidi"/>
        </w:rPr>
        <w:t xml:space="preserve"> </w:t>
      </w:r>
      <w:r w:rsidR="009A7413" w:rsidRPr="00397BFB">
        <w:rPr>
          <w:rFonts w:asciiTheme="minorHAnsi" w:hAnsiTheme="minorHAnsi" w:cstheme="minorBidi"/>
        </w:rPr>
        <w:t>l’initiateur</w:t>
      </w:r>
      <w:r w:rsidR="00BF158F" w:rsidRPr="00397BFB">
        <w:rPr>
          <w:rFonts w:asciiTheme="minorHAnsi" w:hAnsiTheme="minorHAnsi" w:cstheme="minorBidi"/>
        </w:rPr>
        <w:t xml:space="preserve"> devra payer à la Commune, pour chaque acte non-conforme à la présente convention, une indemnité d’un montant obtenu sur base de la surface utile du (des) logement(s) en question, laquelle surface utile est multipliée par </w:t>
      </w:r>
      <w:r w:rsidR="003F4E5C" w:rsidRPr="00397BFB">
        <w:rPr>
          <w:rFonts w:asciiTheme="minorHAnsi" w:hAnsiTheme="minorHAnsi" w:cstheme="minorBidi"/>
        </w:rPr>
        <w:t>l</w:t>
      </w:r>
      <w:r w:rsidR="00BF158F" w:rsidRPr="00397BFB">
        <w:rPr>
          <w:rFonts w:asciiTheme="minorHAnsi" w:hAnsiTheme="minorHAnsi" w:cstheme="minorBidi"/>
        </w:rPr>
        <w:t>a différence entre le PRIX OBSERVATOIRE et le PRIX DE REFERENCE</w:t>
      </w:r>
      <w:r w:rsidR="003F4E5C" w:rsidRPr="00397BFB">
        <w:rPr>
          <w:rFonts w:asciiTheme="minorHAnsi" w:hAnsiTheme="minorHAnsi" w:cstheme="minorBidi"/>
        </w:rPr>
        <w:t xml:space="preserve">. Le PRIX OBSERVATOIRE est à considérer à la date de de l’acte non conforme. Le PRIX DE REFERENCE est à considérer à la date de la délivrance de l’autorisation de bâtir du(des) logement(s) concerné(s). L’indemnité, permettant à la </w:t>
      </w:r>
      <w:r w:rsidR="00BB15C2" w:rsidRPr="00397BFB">
        <w:rPr>
          <w:rFonts w:asciiTheme="minorHAnsi" w:hAnsiTheme="minorHAnsi" w:cstheme="minorBidi"/>
        </w:rPr>
        <w:t>Commune</w:t>
      </w:r>
      <w:r w:rsidR="003F4E5C" w:rsidRPr="00397BFB">
        <w:rPr>
          <w:rFonts w:asciiTheme="minorHAnsi" w:hAnsiTheme="minorHAnsi" w:cstheme="minorBidi"/>
        </w:rPr>
        <w:t xml:space="preserve"> de </w:t>
      </w:r>
      <w:r w:rsidR="00BB15C2" w:rsidRPr="00397BFB">
        <w:rPr>
          <w:rFonts w:asciiTheme="minorHAnsi" w:hAnsiTheme="minorHAnsi" w:cstheme="minorBidi"/>
        </w:rPr>
        <w:t xml:space="preserve">réaliser des investissements dans le cadre du logement </w:t>
      </w:r>
      <w:r w:rsidR="009A7413" w:rsidRPr="00397BFB">
        <w:rPr>
          <w:rFonts w:asciiTheme="minorHAnsi" w:hAnsiTheme="minorHAnsi" w:cstheme="minorBidi"/>
        </w:rPr>
        <w:t>abordable, sera à payer à la C</w:t>
      </w:r>
      <w:r w:rsidR="00BB15C2" w:rsidRPr="00397BFB">
        <w:rPr>
          <w:rFonts w:asciiTheme="minorHAnsi" w:hAnsiTheme="minorHAnsi" w:cstheme="minorBidi"/>
        </w:rPr>
        <w:t xml:space="preserve">ommune sur première invitation écrite de sa part, comportant fixation de l’indemnité conformément à ce qui précède. La prédite indemnité est également redevable par </w:t>
      </w:r>
      <w:r w:rsidR="009A7413" w:rsidRPr="00397BFB">
        <w:rPr>
          <w:rFonts w:asciiTheme="minorHAnsi" w:hAnsiTheme="minorHAnsi" w:cstheme="minorBidi"/>
        </w:rPr>
        <w:t>l’initiateur</w:t>
      </w:r>
      <w:r w:rsidR="00BB15C2" w:rsidRPr="00397BFB">
        <w:rPr>
          <w:rFonts w:asciiTheme="minorHAnsi" w:hAnsiTheme="minorHAnsi" w:cstheme="minorBidi"/>
        </w:rPr>
        <w:t xml:space="preserve"> à la Commune dans le cas où il mettrait à disposition tout ou partie d’un logement</w:t>
      </w:r>
      <w:r w:rsidR="00767140" w:rsidRPr="00397BFB">
        <w:t xml:space="preserve"> </w:t>
      </w:r>
      <w:r w:rsidR="00767140" w:rsidRPr="00397BFB">
        <w:rPr>
          <w:rFonts w:asciiTheme="minorHAnsi" w:hAnsiTheme="minorHAnsi" w:cstheme="minorBidi"/>
        </w:rPr>
        <w:t>des lots dédiés au logement abordable</w:t>
      </w:r>
      <w:r w:rsidR="00BB15C2" w:rsidRPr="00397BFB">
        <w:rPr>
          <w:rFonts w:asciiTheme="minorHAnsi" w:hAnsiTheme="minorHAnsi" w:cstheme="minorBidi"/>
        </w:rPr>
        <w:t xml:space="preserve"> sous une forme non prévue par la présente convention ou ses avenants.</w:t>
      </w:r>
    </w:p>
    <w:p w14:paraId="01B4C156" w14:textId="77777777" w:rsidR="00C42E02" w:rsidRPr="00940A4E" w:rsidRDefault="00C42E02" w:rsidP="00C42E02">
      <w:pPr>
        <w:jc w:val="both"/>
        <w:rPr>
          <w:rFonts w:asciiTheme="minorHAnsi" w:hAnsiTheme="minorHAnsi" w:cstheme="minorHAnsi"/>
        </w:rPr>
      </w:pPr>
    </w:p>
    <w:p w14:paraId="0E69B632" w14:textId="11F57EE4" w:rsidR="00C42E02" w:rsidRPr="00616C6B" w:rsidRDefault="00C42E02" w:rsidP="00616C6B">
      <w:pPr>
        <w:pStyle w:val="ListParagraph"/>
        <w:numPr>
          <w:ilvl w:val="1"/>
          <w:numId w:val="8"/>
        </w:numPr>
        <w:jc w:val="both"/>
        <w:rPr>
          <w:rFonts w:asciiTheme="minorHAnsi" w:hAnsiTheme="minorHAnsi" w:cstheme="minorBidi"/>
        </w:rPr>
      </w:pPr>
      <w:r w:rsidRPr="004B11FD">
        <w:rPr>
          <w:rFonts w:asciiTheme="minorHAnsi" w:hAnsiTheme="minorHAnsi" w:cstheme="minorBidi"/>
        </w:rPr>
        <w:t xml:space="preserve">Les ventes des logements </w:t>
      </w:r>
      <w:r w:rsidR="00397BFB">
        <w:rPr>
          <w:rFonts w:asciiTheme="minorHAnsi" w:hAnsiTheme="minorHAnsi" w:cstheme="minorBidi"/>
        </w:rPr>
        <w:t>abordables</w:t>
      </w:r>
      <w:r w:rsidR="00957786" w:rsidRPr="004B11FD">
        <w:rPr>
          <w:rFonts w:asciiTheme="minorHAnsi" w:hAnsiTheme="minorHAnsi" w:cstheme="minorBidi"/>
        </w:rPr>
        <w:t xml:space="preserve"> </w:t>
      </w:r>
      <w:r w:rsidRPr="004B11FD">
        <w:rPr>
          <w:rFonts w:asciiTheme="minorHAnsi" w:hAnsiTheme="minorHAnsi" w:cstheme="minorBidi"/>
        </w:rPr>
        <w:t xml:space="preserve">sont </w:t>
      </w:r>
      <w:proofErr w:type="gramStart"/>
      <w:r w:rsidRPr="004B11FD">
        <w:rPr>
          <w:rFonts w:asciiTheme="minorHAnsi" w:hAnsiTheme="minorHAnsi" w:cstheme="minorBidi"/>
        </w:rPr>
        <w:t>soumis</w:t>
      </w:r>
      <w:proofErr w:type="gramEnd"/>
      <w:r w:rsidRPr="004B11FD">
        <w:rPr>
          <w:rFonts w:asciiTheme="minorHAnsi" w:hAnsiTheme="minorHAnsi" w:cstheme="minorBidi"/>
        </w:rPr>
        <w:t xml:space="preserve"> à un droit de préemption</w:t>
      </w:r>
      <w:r w:rsidR="4477C3B9" w:rsidRPr="004B11FD">
        <w:rPr>
          <w:rFonts w:asciiTheme="minorHAnsi" w:hAnsiTheme="minorHAnsi" w:cstheme="minorBidi"/>
        </w:rPr>
        <w:t xml:space="preserve"> </w:t>
      </w:r>
      <w:r w:rsidR="002D39FF">
        <w:rPr>
          <w:rFonts w:asciiTheme="minorHAnsi" w:hAnsiTheme="minorHAnsi" w:cstheme="minorBidi"/>
        </w:rPr>
        <w:t xml:space="preserve">conventionnel </w:t>
      </w:r>
      <w:r w:rsidR="007C6CCA" w:rsidRPr="004B11FD">
        <w:rPr>
          <w:rFonts w:asciiTheme="minorHAnsi" w:hAnsiTheme="minorHAnsi" w:cstheme="minorBidi"/>
        </w:rPr>
        <w:t xml:space="preserve">au profit de la Commune, </w:t>
      </w:r>
      <w:r w:rsidRPr="004B11FD">
        <w:rPr>
          <w:rFonts w:asciiTheme="minorHAnsi" w:hAnsiTheme="minorHAnsi" w:cstheme="minorBidi"/>
        </w:rPr>
        <w:t xml:space="preserve">pendant une durée de </w:t>
      </w:r>
      <w:r w:rsidR="007C6CCA" w:rsidRPr="004B11FD">
        <w:rPr>
          <w:rFonts w:asciiTheme="minorHAnsi" w:hAnsiTheme="minorHAnsi" w:cstheme="minorBidi"/>
        </w:rPr>
        <w:t>quarante</w:t>
      </w:r>
      <w:r w:rsidRPr="004B11FD">
        <w:rPr>
          <w:rFonts w:asciiTheme="minorHAnsi" w:hAnsiTheme="minorHAnsi" w:cstheme="minorBidi"/>
        </w:rPr>
        <w:t xml:space="preserve"> (</w:t>
      </w:r>
      <w:r w:rsidR="007C6CCA" w:rsidRPr="00335DAC">
        <w:rPr>
          <w:rFonts w:asciiTheme="minorHAnsi" w:hAnsiTheme="minorHAnsi" w:cstheme="minorBidi"/>
        </w:rPr>
        <w:t>40</w:t>
      </w:r>
      <w:r w:rsidRPr="00335DAC">
        <w:rPr>
          <w:rFonts w:asciiTheme="minorHAnsi" w:hAnsiTheme="minorHAnsi" w:cstheme="minorBidi"/>
        </w:rPr>
        <w:t>) ans prenant cours à la date de la signature de l’acte notarié respectif et avec les conditions suivantes qui sont à reprendre en intégralité dans chaque acte notarié :</w:t>
      </w:r>
    </w:p>
    <w:p w14:paraId="4F99611C" w14:textId="1A403DF9" w:rsidR="005F7E40" w:rsidRPr="00940A4E" w:rsidRDefault="005F7E40" w:rsidP="00C42E02">
      <w:pPr>
        <w:jc w:val="both"/>
        <w:rPr>
          <w:rFonts w:asciiTheme="minorHAnsi" w:hAnsiTheme="minorHAnsi" w:cstheme="minorHAnsi"/>
        </w:rPr>
      </w:pPr>
    </w:p>
    <w:p w14:paraId="087F5E40" w14:textId="791E7D7C" w:rsidR="00C42E02" w:rsidRPr="00616C6B" w:rsidRDefault="005F7E40">
      <w:pPr>
        <w:jc w:val="both"/>
        <w:rPr>
          <w:rFonts w:asciiTheme="minorHAnsi" w:hAnsiTheme="minorHAnsi" w:cstheme="minorBidi"/>
          <w:i/>
          <w:iCs/>
        </w:rPr>
      </w:pPr>
      <w:r w:rsidRPr="004B11FD">
        <w:rPr>
          <w:rFonts w:asciiTheme="minorHAnsi" w:hAnsiTheme="minorHAnsi" w:cstheme="minorBidi"/>
          <w:i/>
          <w:iCs/>
        </w:rPr>
        <w:t>« </w:t>
      </w:r>
      <w:r w:rsidR="00C42E02" w:rsidRPr="004B11FD">
        <w:rPr>
          <w:rFonts w:asciiTheme="minorHAnsi" w:hAnsiTheme="minorHAnsi" w:cstheme="minorBidi"/>
          <w:i/>
          <w:iCs/>
        </w:rPr>
        <w:t xml:space="preserve">L'acquéreur a l'obligation d'habiter personnellement l'immeuble objet du présent acte pendant une période de </w:t>
      </w:r>
      <w:r w:rsidR="007C6CCA" w:rsidRPr="004B11FD">
        <w:rPr>
          <w:rFonts w:asciiTheme="minorHAnsi" w:hAnsiTheme="minorHAnsi" w:cstheme="minorBidi"/>
          <w:i/>
          <w:iCs/>
        </w:rPr>
        <w:t>quarante</w:t>
      </w:r>
      <w:r w:rsidR="00C42E02" w:rsidRPr="00335DAC">
        <w:rPr>
          <w:rFonts w:asciiTheme="minorHAnsi" w:hAnsiTheme="minorHAnsi" w:cstheme="minorBidi"/>
          <w:i/>
          <w:iCs/>
        </w:rPr>
        <w:t xml:space="preserve"> (</w:t>
      </w:r>
      <w:r w:rsidR="007C6CCA" w:rsidRPr="00335DAC">
        <w:rPr>
          <w:rFonts w:asciiTheme="minorHAnsi" w:hAnsiTheme="minorHAnsi" w:cstheme="minorBidi"/>
          <w:i/>
          <w:iCs/>
        </w:rPr>
        <w:t>40</w:t>
      </w:r>
      <w:r w:rsidR="00C42E02" w:rsidRPr="00335DAC">
        <w:rPr>
          <w:rFonts w:asciiTheme="minorHAnsi" w:hAnsiTheme="minorHAnsi" w:cstheme="minorBidi"/>
          <w:i/>
          <w:iCs/>
        </w:rPr>
        <w:t xml:space="preserve">) ans prenant cours </w:t>
      </w:r>
      <w:r w:rsidR="001410DC" w:rsidRPr="00335DAC">
        <w:rPr>
          <w:rFonts w:asciiTheme="minorHAnsi" w:hAnsiTheme="minorHAnsi" w:cstheme="minorBidi"/>
          <w:i/>
          <w:iCs/>
        </w:rPr>
        <w:t>à la signature de l’acte notarié</w:t>
      </w:r>
      <w:r w:rsidR="00C42E02" w:rsidRPr="00335DAC">
        <w:rPr>
          <w:rFonts w:asciiTheme="minorHAnsi" w:hAnsiTheme="minorHAnsi" w:cstheme="minorBidi"/>
          <w:i/>
          <w:iCs/>
        </w:rPr>
        <w:t xml:space="preserve">. Il </w:t>
      </w:r>
      <w:r w:rsidR="00671977" w:rsidRPr="00335DAC">
        <w:rPr>
          <w:rFonts w:asciiTheme="minorHAnsi" w:hAnsiTheme="minorHAnsi" w:cstheme="minorBidi"/>
          <w:i/>
          <w:iCs/>
        </w:rPr>
        <w:t xml:space="preserve">doit </w:t>
      </w:r>
      <w:r w:rsidR="00C42E02" w:rsidRPr="00335DAC">
        <w:rPr>
          <w:rFonts w:asciiTheme="minorHAnsi" w:hAnsiTheme="minorHAnsi" w:cstheme="minorBidi"/>
          <w:i/>
          <w:iCs/>
        </w:rPr>
        <w:t>l'habiter à titre personnel et principal pendant cette période, toute location étant strictement interdite, sauf en cas de force majeure</w:t>
      </w:r>
      <w:r w:rsidR="0050133B">
        <w:rPr>
          <w:rFonts w:asciiTheme="minorHAnsi" w:hAnsiTheme="minorHAnsi" w:cstheme="minorBidi"/>
          <w:i/>
          <w:iCs/>
        </w:rPr>
        <w:t>.</w:t>
      </w:r>
    </w:p>
    <w:p w14:paraId="5862B000" w14:textId="27CF3AC5" w:rsidR="002B713E" w:rsidRPr="00616C6B" w:rsidRDefault="002B713E">
      <w:pPr>
        <w:jc w:val="both"/>
        <w:rPr>
          <w:rFonts w:asciiTheme="minorHAnsi" w:hAnsiTheme="minorHAnsi" w:cstheme="minorBidi"/>
          <w:i/>
          <w:iCs/>
        </w:rPr>
      </w:pPr>
    </w:p>
    <w:p w14:paraId="32417F65" w14:textId="2F9C1AAF" w:rsidR="00B35BA1" w:rsidRDefault="00B35BA1">
      <w:pPr>
        <w:jc w:val="both"/>
        <w:rPr>
          <w:rFonts w:asciiTheme="minorHAnsi" w:hAnsiTheme="minorHAnsi" w:cstheme="minorBidi"/>
          <w:bCs/>
          <w:i/>
          <w:iCs/>
        </w:rPr>
      </w:pPr>
      <w:r w:rsidRPr="00B35BA1">
        <w:rPr>
          <w:rFonts w:asciiTheme="minorHAnsi" w:hAnsiTheme="minorHAnsi" w:cstheme="minorBidi"/>
          <w:bCs/>
          <w:i/>
          <w:iCs/>
        </w:rPr>
        <w:t>Au cas où l’acqu</w:t>
      </w:r>
      <w:r>
        <w:rPr>
          <w:rFonts w:asciiTheme="minorHAnsi" w:hAnsiTheme="minorHAnsi" w:cstheme="minorBidi"/>
          <w:bCs/>
          <w:i/>
          <w:iCs/>
        </w:rPr>
        <w:t xml:space="preserve">éreur souhaiterait procéder à </w:t>
      </w:r>
      <w:r w:rsidRPr="00B35BA1">
        <w:rPr>
          <w:rFonts w:asciiTheme="minorHAnsi" w:hAnsiTheme="minorHAnsi" w:cstheme="minorBidi"/>
          <w:bCs/>
          <w:i/>
          <w:iCs/>
        </w:rPr>
        <w:t xml:space="preserve">l’aliénation à quelque titre que ce soit de l’immeuble/des éléments immobiliers faisant l’objet des présentes pendant la durée du droit </w:t>
      </w:r>
      <w:r>
        <w:rPr>
          <w:rFonts w:asciiTheme="minorHAnsi" w:hAnsiTheme="minorHAnsi" w:cstheme="minorBidi"/>
          <w:bCs/>
          <w:i/>
          <w:iCs/>
        </w:rPr>
        <w:t xml:space="preserve">de </w:t>
      </w:r>
      <w:r w:rsidR="008E7BCF">
        <w:rPr>
          <w:rFonts w:asciiTheme="minorHAnsi" w:hAnsiTheme="minorHAnsi" w:cstheme="minorBidi"/>
          <w:bCs/>
          <w:i/>
          <w:iCs/>
        </w:rPr>
        <w:t>préemption conventionnel</w:t>
      </w:r>
      <w:r w:rsidRPr="00B35BA1">
        <w:rPr>
          <w:rFonts w:asciiTheme="minorHAnsi" w:hAnsiTheme="minorHAnsi" w:cstheme="minorBidi"/>
          <w:bCs/>
          <w:i/>
          <w:iCs/>
        </w:rPr>
        <w:t xml:space="preserve">, l’acquéreur doit en notifier préalablement </w:t>
      </w:r>
      <w:r>
        <w:rPr>
          <w:rFonts w:asciiTheme="minorHAnsi" w:hAnsiTheme="minorHAnsi" w:cstheme="minorBidi"/>
          <w:bCs/>
          <w:i/>
          <w:iCs/>
        </w:rPr>
        <w:t>la Commune</w:t>
      </w:r>
      <w:r w:rsidRPr="00B35BA1">
        <w:rPr>
          <w:rFonts w:asciiTheme="minorHAnsi" w:hAnsiTheme="minorHAnsi" w:cstheme="minorBidi"/>
          <w:bCs/>
          <w:i/>
          <w:iCs/>
        </w:rPr>
        <w:t xml:space="preserve"> par lettre recommandée avec demande d’avis de réception</w:t>
      </w:r>
      <w:r>
        <w:rPr>
          <w:rFonts w:asciiTheme="minorHAnsi" w:hAnsiTheme="minorHAnsi" w:cstheme="minorBidi"/>
          <w:bCs/>
          <w:i/>
          <w:iCs/>
        </w:rPr>
        <w:t>.</w:t>
      </w:r>
    </w:p>
    <w:p w14:paraId="171EB100" w14:textId="70BFE575" w:rsidR="0050133B" w:rsidRDefault="0050133B">
      <w:pPr>
        <w:jc w:val="both"/>
        <w:rPr>
          <w:rFonts w:asciiTheme="minorHAnsi" w:hAnsiTheme="minorHAnsi" w:cstheme="minorBidi"/>
          <w:bCs/>
          <w:i/>
          <w:iCs/>
        </w:rPr>
      </w:pPr>
      <w:r w:rsidRPr="0050133B">
        <w:rPr>
          <w:rFonts w:asciiTheme="minorHAnsi" w:hAnsiTheme="minorHAnsi" w:cstheme="minorBidi"/>
          <w:bCs/>
          <w:i/>
          <w:iCs/>
        </w:rPr>
        <w:t>Cette obligation incombe également aux ayant droits de l'acquéreur dans l'hypothèse où l'acquéreur viendrait à décéder avant le terme de cette période.</w:t>
      </w:r>
    </w:p>
    <w:p w14:paraId="4B98936D" w14:textId="77777777" w:rsidR="00B35BA1" w:rsidRDefault="00B35BA1">
      <w:pPr>
        <w:jc w:val="both"/>
        <w:rPr>
          <w:rFonts w:asciiTheme="minorHAnsi" w:hAnsiTheme="minorHAnsi" w:cstheme="minorBidi"/>
          <w:i/>
          <w:iCs/>
        </w:rPr>
      </w:pPr>
    </w:p>
    <w:p w14:paraId="352A6230" w14:textId="4BB7E71F" w:rsidR="00B35BA1" w:rsidRDefault="00B35BA1" w:rsidP="00B35BA1">
      <w:pPr>
        <w:jc w:val="both"/>
        <w:rPr>
          <w:rFonts w:asciiTheme="minorHAnsi" w:hAnsiTheme="minorHAnsi" w:cstheme="minorBidi"/>
          <w:bCs/>
          <w:i/>
          <w:iCs/>
        </w:rPr>
      </w:pPr>
      <w:r w:rsidRPr="00B35BA1">
        <w:rPr>
          <w:rFonts w:asciiTheme="minorHAnsi" w:hAnsiTheme="minorHAnsi" w:cstheme="minorBidi"/>
          <w:bCs/>
          <w:i/>
          <w:iCs/>
        </w:rPr>
        <w:t xml:space="preserve">A compter de la réception de cette demande, </w:t>
      </w:r>
      <w:r>
        <w:rPr>
          <w:rFonts w:asciiTheme="minorHAnsi" w:hAnsiTheme="minorHAnsi" w:cstheme="minorBidi"/>
          <w:bCs/>
          <w:i/>
          <w:iCs/>
        </w:rPr>
        <w:t>la Commune</w:t>
      </w:r>
      <w:r w:rsidRPr="00B35BA1">
        <w:rPr>
          <w:rFonts w:asciiTheme="minorHAnsi" w:hAnsiTheme="minorHAnsi" w:cstheme="minorBidi"/>
          <w:bCs/>
          <w:i/>
          <w:iCs/>
        </w:rPr>
        <w:t xml:space="preserve"> dispose d’un délai de trois (3) mois pour signifier à l’acquéreur sa décision quant à l’exercice du droit de </w:t>
      </w:r>
      <w:r w:rsidR="008E7BCF">
        <w:rPr>
          <w:rFonts w:asciiTheme="minorHAnsi" w:hAnsiTheme="minorHAnsi" w:cstheme="minorBidi"/>
          <w:bCs/>
          <w:i/>
          <w:iCs/>
        </w:rPr>
        <w:t>préemption conventionnel</w:t>
      </w:r>
      <w:r w:rsidRPr="00B35BA1">
        <w:rPr>
          <w:rFonts w:asciiTheme="minorHAnsi" w:hAnsiTheme="minorHAnsi" w:cstheme="minorBidi"/>
          <w:bCs/>
          <w:i/>
          <w:iCs/>
        </w:rPr>
        <w:t xml:space="preserve">. </w:t>
      </w:r>
    </w:p>
    <w:p w14:paraId="3105F26B" w14:textId="77777777" w:rsidR="00B35BA1" w:rsidRPr="00B35BA1" w:rsidRDefault="00B35BA1" w:rsidP="00B35BA1">
      <w:pPr>
        <w:jc w:val="both"/>
        <w:rPr>
          <w:rFonts w:asciiTheme="minorHAnsi" w:hAnsiTheme="minorHAnsi" w:cstheme="minorBidi"/>
          <w:bCs/>
          <w:i/>
          <w:iCs/>
        </w:rPr>
      </w:pPr>
    </w:p>
    <w:p w14:paraId="1721EC4D" w14:textId="18E7F3A2" w:rsidR="00B35BA1" w:rsidRDefault="00B35BA1" w:rsidP="00B35BA1">
      <w:pPr>
        <w:jc w:val="both"/>
        <w:rPr>
          <w:rFonts w:asciiTheme="minorHAnsi" w:hAnsiTheme="minorHAnsi" w:cstheme="minorBidi"/>
          <w:bCs/>
          <w:i/>
          <w:iCs/>
        </w:rPr>
      </w:pPr>
      <w:r w:rsidRPr="00B35BA1">
        <w:rPr>
          <w:rFonts w:asciiTheme="minorHAnsi" w:hAnsiTheme="minorHAnsi" w:cstheme="minorBidi"/>
          <w:bCs/>
          <w:i/>
          <w:iCs/>
        </w:rPr>
        <w:t xml:space="preserve">En cas de renonciation à son droit de </w:t>
      </w:r>
      <w:r w:rsidR="008E7BCF">
        <w:rPr>
          <w:rFonts w:asciiTheme="minorHAnsi" w:hAnsiTheme="minorHAnsi" w:cstheme="minorBidi"/>
          <w:bCs/>
          <w:i/>
          <w:iCs/>
        </w:rPr>
        <w:t>préemption conventionnel</w:t>
      </w:r>
      <w:r w:rsidRPr="00B35BA1">
        <w:rPr>
          <w:rFonts w:asciiTheme="minorHAnsi" w:hAnsiTheme="minorHAnsi" w:cstheme="minorBidi"/>
          <w:bCs/>
          <w:i/>
          <w:iCs/>
        </w:rPr>
        <w:t xml:space="preserve"> par </w:t>
      </w:r>
      <w:r>
        <w:rPr>
          <w:rFonts w:asciiTheme="minorHAnsi" w:hAnsiTheme="minorHAnsi" w:cstheme="minorBidi"/>
          <w:bCs/>
          <w:i/>
          <w:iCs/>
        </w:rPr>
        <w:t>la Commune</w:t>
      </w:r>
      <w:r w:rsidRPr="00B35BA1">
        <w:rPr>
          <w:rFonts w:asciiTheme="minorHAnsi" w:hAnsiTheme="minorHAnsi" w:cstheme="minorBidi"/>
          <w:bCs/>
          <w:i/>
          <w:iCs/>
        </w:rPr>
        <w:t xml:space="preserve"> ou en cas de défaut de réponse dans le délai de trois (3) mois, l’acquéreur de l’immeuble/des éléments immobiliers est libre de le/les vendre.</w:t>
      </w:r>
    </w:p>
    <w:p w14:paraId="712C91F6" w14:textId="77777777" w:rsidR="00B35BA1" w:rsidRDefault="00B35BA1" w:rsidP="00B35BA1">
      <w:pPr>
        <w:jc w:val="both"/>
        <w:rPr>
          <w:rFonts w:asciiTheme="minorHAnsi" w:hAnsiTheme="minorHAnsi" w:cstheme="minorBidi"/>
          <w:bCs/>
          <w:i/>
          <w:iCs/>
        </w:rPr>
      </w:pPr>
    </w:p>
    <w:p w14:paraId="05F9EA9B" w14:textId="0E37648B" w:rsidR="00B35BA1" w:rsidRDefault="00B35BA1" w:rsidP="00B35BA1">
      <w:pPr>
        <w:jc w:val="both"/>
        <w:rPr>
          <w:rFonts w:asciiTheme="minorHAnsi" w:hAnsiTheme="minorHAnsi" w:cstheme="minorBidi"/>
          <w:bCs/>
          <w:i/>
          <w:iCs/>
        </w:rPr>
      </w:pPr>
      <w:r w:rsidRPr="00B35BA1">
        <w:rPr>
          <w:rFonts w:asciiTheme="minorHAnsi" w:hAnsiTheme="minorHAnsi" w:cstheme="minorBidi"/>
          <w:bCs/>
          <w:i/>
          <w:iCs/>
        </w:rPr>
        <w:t xml:space="preserve">En cas d’exercice du droit de </w:t>
      </w:r>
      <w:r w:rsidR="008E7BCF">
        <w:rPr>
          <w:rFonts w:asciiTheme="minorHAnsi" w:hAnsiTheme="minorHAnsi" w:cstheme="minorBidi"/>
          <w:bCs/>
          <w:i/>
          <w:iCs/>
        </w:rPr>
        <w:t>préemption conventionnel</w:t>
      </w:r>
      <w:r w:rsidRPr="00B35BA1">
        <w:rPr>
          <w:rFonts w:asciiTheme="minorHAnsi" w:hAnsiTheme="minorHAnsi" w:cstheme="minorBidi"/>
          <w:bCs/>
          <w:i/>
          <w:iCs/>
        </w:rPr>
        <w:t xml:space="preserve">, le prix que </w:t>
      </w:r>
      <w:r>
        <w:rPr>
          <w:rFonts w:asciiTheme="minorHAnsi" w:hAnsiTheme="minorHAnsi" w:cstheme="minorBidi"/>
          <w:bCs/>
          <w:i/>
          <w:iCs/>
        </w:rPr>
        <w:t xml:space="preserve">la Commune </w:t>
      </w:r>
      <w:r w:rsidRPr="00B35BA1">
        <w:rPr>
          <w:rFonts w:asciiTheme="minorHAnsi" w:hAnsiTheme="minorHAnsi" w:cstheme="minorBidi"/>
          <w:bCs/>
          <w:i/>
          <w:iCs/>
        </w:rPr>
        <w:t>doit payer à l’acquéreur est basé sur le prix principal que l’acqu</w:t>
      </w:r>
      <w:r w:rsidR="00B06880">
        <w:rPr>
          <w:rFonts w:asciiTheme="minorHAnsi" w:hAnsiTheme="minorHAnsi" w:cstheme="minorBidi"/>
          <w:bCs/>
          <w:i/>
          <w:iCs/>
        </w:rPr>
        <w:t>éreur a payé au promoteur privé</w:t>
      </w:r>
      <w:r w:rsidRPr="00B35BA1">
        <w:rPr>
          <w:rFonts w:asciiTheme="minorHAnsi" w:hAnsiTheme="minorHAnsi" w:cstheme="minorBidi"/>
          <w:bCs/>
          <w:i/>
          <w:iCs/>
        </w:rPr>
        <w:t xml:space="preserve"> ou dont il lui est redevable, quel </w:t>
      </w:r>
      <w:r w:rsidRPr="00B35BA1">
        <w:rPr>
          <w:rFonts w:asciiTheme="minorHAnsi" w:hAnsiTheme="minorHAnsi" w:cstheme="minorBidi"/>
          <w:bCs/>
          <w:i/>
          <w:iCs/>
        </w:rPr>
        <w:lastRenderedPageBreak/>
        <w:t>que soit par ailleurs le prix du marché ou le prix offert par un tiers amateur.</w:t>
      </w:r>
    </w:p>
    <w:p w14:paraId="0790C3FB" w14:textId="77777777" w:rsidR="00B06880" w:rsidRPr="00B35BA1" w:rsidRDefault="00B06880" w:rsidP="00B35BA1">
      <w:pPr>
        <w:jc w:val="both"/>
        <w:rPr>
          <w:rFonts w:asciiTheme="minorHAnsi" w:hAnsiTheme="minorHAnsi" w:cstheme="minorBidi"/>
          <w:bCs/>
          <w:i/>
          <w:iCs/>
        </w:rPr>
      </w:pPr>
    </w:p>
    <w:p w14:paraId="19921C44" w14:textId="48D3C8E8" w:rsidR="00B35BA1" w:rsidRDefault="00B35BA1" w:rsidP="00B35BA1">
      <w:pPr>
        <w:jc w:val="both"/>
        <w:rPr>
          <w:rFonts w:asciiTheme="minorHAnsi" w:hAnsiTheme="minorHAnsi" w:cstheme="minorBidi"/>
          <w:bCs/>
          <w:i/>
          <w:iCs/>
        </w:rPr>
      </w:pPr>
    </w:p>
    <w:p w14:paraId="2B5BB951" w14:textId="02F01509" w:rsidR="00B35BA1" w:rsidRPr="00B35BA1" w:rsidRDefault="00B35BA1" w:rsidP="0046071D">
      <w:pPr>
        <w:shd w:val="clear" w:color="auto" w:fill="E7E6E6" w:themeFill="background2"/>
        <w:jc w:val="both"/>
        <w:rPr>
          <w:rFonts w:asciiTheme="minorHAnsi" w:hAnsiTheme="minorHAnsi" w:cstheme="minorBidi"/>
          <w:bCs/>
          <w:i/>
          <w:iCs/>
        </w:rPr>
      </w:pPr>
      <w:r w:rsidRPr="00B35BA1">
        <w:rPr>
          <w:rFonts w:asciiTheme="minorHAnsi" w:hAnsiTheme="minorHAnsi" w:cstheme="minorBidi"/>
          <w:bCs/>
          <w:i/>
          <w:iCs/>
        </w:rPr>
        <w:t>[La proposition de clause suivant</w:t>
      </w:r>
      <w:r w:rsidR="001E6D82">
        <w:rPr>
          <w:rFonts w:asciiTheme="minorHAnsi" w:hAnsiTheme="minorHAnsi" w:cstheme="minorBidi"/>
          <w:bCs/>
          <w:i/>
          <w:iCs/>
        </w:rPr>
        <w:t>e</w:t>
      </w:r>
      <w:r w:rsidRPr="00B35BA1">
        <w:rPr>
          <w:rFonts w:asciiTheme="minorHAnsi" w:hAnsiTheme="minorHAnsi" w:cstheme="minorBidi"/>
          <w:bCs/>
          <w:i/>
          <w:iCs/>
        </w:rPr>
        <w:t xml:space="preserve"> vaut pour les ventes en état futur d’achèvement (</w:t>
      </w:r>
      <w:proofErr w:type="spellStart"/>
      <w:r w:rsidRPr="00B35BA1">
        <w:rPr>
          <w:rFonts w:asciiTheme="minorHAnsi" w:hAnsiTheme="minorHAnsi" w:cstheme="minorBidi"/>
          <w:bCs/>
          <w:i/>
          <w:iCs/>
        </w:rPr>
        <w:t>vefa</w:t>
      </w:r>
      <w:proofErr w:type="spellEnd"/>
      <w:r w:rsidRPr="00B35BA1">
        <w:rPr>
          <w:rFonts w:asciiTheme="minorHAnsi" w:hAnsiTheme="minorHAnsi" w:cstheme="minorBidi"/>
          <w:bCs/>
          <w:i/>
          <w:iCs/>
        </w:rPr>
        <w:t>) seulement.]</w:t>
      </w:r>
    </w:p>
    <w:p w14:paraId="7FCF5973" w14:textId="77777777" w:rsidR="00B35BA1" w:rsidRDefault="00B35BA1" w:rsidP="00B35BA1">
      <w:pPr>
        <w:jc w:val="both"/>
        <w:rPr>
          <w:rFonts w:asciiTheme="minorHAnsi" w:hAnsiTheme="minorHAnsi" w:cstheme="minorBidi"/>
          <w:bCs/>
          <w:i/>
          <w:iCs/>
        </w:rPr>
      </w:pPr>
    </w:p>
    <w:p w14:paraId="49E26F5F" w14:textId="654B7612" w:rsidR="00B35BA1" w:rsidRDefault="00B35BA1" w:rsidP="00B35BA1">
      <w:pPr>
        <w:jc w:val="both"/>
        <w:rPr>
          <w:rFonts w:asciiTheme="minorHAnsi" w:hAnsiTheme="minorHAnsi" w:cstheme="minorBidi"/>
          <w:bCs/>
          <w:i/>
          <w:iCs/>
        </w:rPr>
      </w:pPr>
      <w:r w:rsidRPr="00B35BA1">
        <w:rPr>
          <w:rFonts w:asciiTheme="minorHAnsi" w:hAnsiTheme="minorHAnsi" w:cstheme="minorBidi"/>
          <w:bCs/>
          <w:i/>
          <w:iCs/>
        </w:rPr>
        <w:t>Est déduit du prix principal le montant de la TVA remboursé à l’acquéreur par l’Administration de l’enregistrement, des domaines et de la TVA et que celui-ci avait dû avancer au titre du prix des constructions achevées lors de la signature du présent acte.</w:t>
      </w:r>
      <w:r>
        <w:rPr>
          <w:rFonts w:asciiTheme="minorHAnsi" w:hAnsiTheme="minorHAnsi" w:cstheme="minorBidi"/>
          <w:bCs/>
          <w:i/>
          <w:iCs/>
        </w:rPr>
        <w:t xml:space="preserve"> </w:t>
      </w:r>
      <w:r w:rsidRPr="00B35BA1">
        <w:rPr>
          <w:rFonts w:asciiTheme="minorHAnsi" w:hAnsiTheme="minorHAnsi" w:cstheme="minorBidi"/>
          <w:bCs/>
          <w:i/>
          <w:iCs/>
        </w:rPr>
        <w:t xml:space="preserve">Cette déduction n’a cependant pas lieu si ce même montant de la TVA a déjà dû être remboursé par </w:t>
      </w:r>
      <w:r w:rsidR="002D39FF" w:rsidRPr="00B35BA1">
        <w:rPr>
          <w:rFonts w:asciiTheme="minorHAnsi" w:hAnsiTheme="minorHAnsi" w:cstheme="minorBidi"/>
          <w:bCs/>
          <w:i/>
          <w:iCs/>
        </w:rPr>
        <w:t>l’</w:t>
      </w:r>
      <w:r w:rsidR="002D39FF">
        <w:rPr>
          <w:rFonts w:asciiTheme="minorHAnsi" w:hAnsiTheme="minorHAnsi" w:cstheme="minorBidi"/>
          <w:bCs/>
          <w:i/>
          <w:iCs/>
        </w:rPr>
        <w:t>acquéreur</w:t>
      </w:r>
      <w:r w:rsidR="002D39FF" w:rsidRPr="00B35BA1">
        <w:rPr>
          <w:rFonts w:asciiTheme="minorHAnsi" w:hAnsiTheme="minorHAnsi" w:cstheme="minorBidi"/>
          <w:bCs/>
          <w:i/>
          <w:iCs/>
        </w:rPr>
        <w:t xml:space="preserve"> </w:t>
      </w:r>
      <w:r w:rsidRPr="00B35BA1">
        <w:rPr>
          <w:rFonts w:asciiTheme="minorHAnsi" w:hAnsiTheme="minorHAnsi" w:cstheme="minorBidi"/>
          <w:bCs/>
          <w:i/>
          <w:iCs/>
        </w:rPr>
        <w:t>à l’Administration de l’enregistrement, des domaines et de la TVA.</w:t>
      </w:r>
    </w:p>
    <w:p w14:paraId="2ED9A147" w14:textId="77777777" w:rsidR="00B35BA1" w:rsidRPr="00B35BA1" w:rsidRDefault="00B35BA1" w:rsidP="00B35BA1">
      <w:pPr>
        <w:jc w:val="both"/>
        <w:rPr>
          <w:rFonts w:asciiTheme="minorHAnsi" w:hAnsiTheme="minorHAnsi" w:cstheme="minorBidi"/>
          <w:bCs/>
          <w:i/>
          <w:iCs/>
        </w:rPr>
      </w:pPr>
    </w:p>
    <w:p w14:paraId="0ED772DF" w14:textId="291A1D35" w:rsidR="00B35BA1" w:rsidRPr="00B35BA1" w:rsidRDefault="00B35BA1" w:rsidP="00B35BA1">
      <w:pPr>
        <w:jc w:val="both"/>
        <w:rPr>
          <w:rFonts w:asciiTheme="minorHAnsi" w:hAnsiTheme="minorHAnsi" w:cstheme="minorBidi"/>
          <w:bCs/>
          <w:i/>
          <w:iCs/>
        </w:rPr>
      </w:pPr>
      <w:r w:rsidRPr="00B35BA1">
        <w:rPr>
          <w:rFonts w:asciiTheme="minorHAnsi" w:hAnsiTheme="minorHAnsi" w:cstheme="minorBidi"/>
          <w:bCs/>
          <w:i/>
          <w:iCs/>
        </w:rPr>
        <w:t xml:space="preserve">Sont déduites du prix principal les primes, bonifications, aides conventionnelles et autres avantages qui auraient été alloués ou simplement bonifiés par le promoteur </w:t>
      </w:r>
      <w:r w:rsidR="00B06880">
        <w:rPr>
          <w:rFonts w:asciiTheme="minorHAnsi" w:hAnsiTheme="minorHAnsi" w:cstheme="minorBidi"/>
          <w:bCs/>
          <w:i/>
          <w:iCs/>
        </w:rPr>
        <w:t>privé</w:t>
      </w:r>
      <w:r w:rsidRPr="00B35BA1">
        <w:rPr>
          <w:rFonts w:asciiTheme="minorHAnsi" w:hAnsiTheme="minorHAnsi" w:cstheme="minorBidi"/>
          <w:bCs/>
          <w:i/>
          <w:iCs/>
        </w:rPr>
        <w:t xml:space="preserve"> à l’acquéreur, dont notamment les subventions de l’Etat au titre des Aides à la Pierre ou d’aides énergétiques (PRIME HOUSE).</w:t>
      </w:r>
    </w:p>
    <w:p w14:paraId="0212B487" w14:textId="3CFF3228" w:rsidR="00B35BA1" w:rsidRDefault="00B35BA1" w:rsidP="00B35BA1">
      <w:pPr>
        <w:jc w:val="both"/>
        <w:rPr>
          <w:rFonts w:asciiTheme="minorHAnsi" w:hAnsiTheme="minorHAnsi" w:cstheme="minorBidi"/>
          <w:bCs/>
          <w:i/>
          <w:iCs/>
        </w:rPr>
      </w:pPr>
      <w:r w:rsidRPr="00B35BA1">
        <w:rPr>
          <w:rFonts w:asciiTheme="minorHAnsi" w:hAnsiTheme="minorHAnsi" w:cstheme="minorBidi"/>
          <w:bCs/>
          <w:i/>
          <w:iCs/>
        </w:rPr>
        <w:t xml:space="preserve">L’acquéreur n’a pas droit à des intérêts de la part </w:t>
      </w:r>
      <w:r w:rsidR="00B06880">
        <w:rPr>
          <w:rFonts w:asciiTheme="minorHAnsi" w:hAnsiTheme="minorHAnsi" w:cstheme="minorBidi"/>
          <w:bCs/>
          <w:i/>
          <w:iCs/>
        </w:rPr>
        <w:t>de la Commune</w:t>
      </w:r>
      <w:r w:rsidRPr="00B35BA1">
        <w:rPr>
          <w:rFonts w:asciiTheme="minorHAnsi" w:hAnsiTheme="minorHAnsi" w:cstheme="minorBidi"/>
          <w:bCs/>
          <w:i/>
          <w:iCs/>
        </w:rPr>
        <w:t xml:space="preserve"> depuis l’encaissement du prix de vente par celui-ci.</w:t>
      </w:r>
    </w:p>
    <w:p w14:paraId="30CBB44D" w14:textId="23F83A19" w:rsidR="00B35BA1" w:rsidRDefault="00B35BA1" w:rsidP="00B35BA1">
      <w:pPr>
        <w:jc w:val="both"/>
        <w:rPr>
          <w:rFonts w:asciiTheme="minorHAnsi" w:hAnsiTheme="minorHAnsi" w:cstheme="minorBidi"/>
          <w:bCs/>
          <w:i/>
          <w:iCs/>
        </w:rPr>
      </w:pPr>
    </w:p>
    <w:p w14:paraId="138F5FB7" w14:textId="1D53B342" w:rsidR="00B06880" w:rsidRDefault="00B06880" w:rsidP="00B06880">
      <w:pPr>
        <w:jc w:val="both"/>
        <w:rPr>
          <w:rFonts w:asciiTheme="minorHAnsi" w:hAnsiTheme="minorHAnsi" w:cstheme="minorBidi"/>
          <w:bCs/>
          <w:i/>
          <w:iCs/>
        </w:rPr>
      </w:pPr>
      <w:r w:rsidRPr="00B06880">
        <w:rPr>
          <w:rFonts w:asciiTheme="minorHAnsi" w:hAnsiTheme="minorHAnsi" w:cstheme="minorBidi"/>
          <w:bCs/>
          <w:i/>
          <w:iCs/>
        </w:rPr>
        <w:t xml:space="preserve">Le montant ainsi obtenu est majoré, à compter de la date du présent acte, par l’indice du coût </w:t>
      </w:r>
      <w:proofErr w:type="gramStart"/>
      <w:r w:rsidRPr="00B06880">
        <w:rPr>
          <w:rFonts w:asciiTheme="minorHAnsi" w:hAnsiTheme="minorHAnsi" w:cstheme="minorBidi"/>
          <w:bCs/>
          <w:i/>
          <w:iCs/>
        </w:rPr>
        <w:t>de la construction publié</w:t>
      </w:r>
      <w:proofErr w:type="gramEnd"/>
      <w:r w:rsidRPr="00B06880">
        <w:rPr>
          <w:rFonts w:asciiTheme="minorHAnsi" w:hAnsiTheme="minorHAnsi" w:cstheme="minorBidi"/>
          <w:bCs/>
          <w:i/>
          <w:iCs/>
        </w:rPr>
        <w:t xml:space="preserve"> par le Service Central de la Statistique et des Etudes Economiques (STATEC) au taux applicable à la date de la signification à l’acquéreur par </w:t>
      </w:r>
      <w:r>
        <w:rPr>
          <w:rFonts w:asciiTheme="minorHAnsi" w:hAnsiTheme="minorHAnsi" w:cstheme="minorBidi"/>
          <w:bCs/>
          <w:i/>
          <w:iCs/>
        </w:rPr>
        <w:t>la Commune</w:t>
      </w:r>
      <w:r w:rsidRPr="00B06880">
        <w:rPr>
          <w:rFonts w:asciiTheme="minorHAnsi" w:hAnsiTheme="minorHAnsi" w:cstheme="minorBidi"/>
          <w:bCs/>
          <w:i/>
          <w:iCs/>
        </w:rPr>
        <w:t xml:space="preserve"> de sa décision </w:t>
      </w:r>
      <w:r>
        <w:rPr>
          <w:rFonts w:asciiTheme="minorHAnsi" w:hAnsiTheme="minorHAnsi" w:cstheme="minorBidi"/>
          <w:bCs/>
          <w:i/>
          <w:iCs/>
        </w:rPr>
        <w:t xml:space="preserve">d’exercer son droit de </w:t>
      </w:r>
      <w:r w:rsidR="008E7BCF">
        <w:rPr>
          <w:rFonts w:asciiTheme="minorHAnsi" w:hAnsiTheme="minorHAnsi" w:cstheme="minorBidi"/>
          <w:bCs/>
          <w:i/>
          <w:iCs/>
        </w:rPr>
        <w:t>préemption conventionnel</w:t>
      </w:r>
      <w:r w:rsidRPr="00B06880">
        <w:rPr>
          <w:rFonts w:asciiTheme="minorHAnsi" w:hAnsiTheme="minorHAnsi" w:cstheme="minorBidi"/>
          <w:bCs/>
          <w:i/>
          <w:iCs/>
        </w:rPr>
        <w:t>.</w:t>
      </w:r>
    </w:p>
    <w:p w14:paraId="7F2E957C" w14:textId="005C9D7B" w:rsidR="00B06880" w:rsidRDefault="00B06880" w:rsidP="00B06880">
      <w:pPr>
        <w:jc w:val="both"/>
        <w:rPr>
          <w:rFonts w:asciiTheme="minorHAnsi" w:hAnsiTheme="minorHAnsi" w:cstheme="minorBidi"/>
          <w:bCs/>
          <w:i/>
          <w:iCs/>
        </w:rPr>
      </w:pPr>
    </w:p>
    <w:p w14:paraId="7C121A26" w14:textId="5F3E5DA0" w:rsidR="00B06880" w:rsidRDefault="00B06880" w:rsidP="00B06880">
      <w:pPr>
        <w:jc w:val="both"/>
        <w:rPr>
          <w:rFonts w:asciiTheme="minorHAnsi" w:hAnsiTheme="minorHAnsi" w:cstheme="minorBidi"/>
          <w:bCs/>
          <w:i/>
          <w:iCs/>
        </w:rPr>
      </w:pPr>
      <w:r w:rsidRPr="00B06880">
        <w:rPr>
          <w:rFonts w:asciiTheme="minorHAnsi" w:hAnsiTheme="minorHAnsi" w:cstheme="minorBidi"/>
          <w:bCs/>
          <w:i/>
          <w:iCs/>
        </w:rPr>
        <w:t>Sont déduites du prix majoré comme indiqué ci-avant la moins-value normale résultant de l’usure de l’immeuble vendu/des éléments immobiliers vendus, calculée au taux de x%</w:t>
      </w:r>
      <w:r w:rsidRPr="00B06880">
        <w:rPr>
          <w:rFonts w:asciiTheme="minorHAnsi" w:hAnsiTheme="minorHAnsi" w:cstheme="minorBidi"/>
          <w:bCs/>
          <w:i/>
          <w:iCs/>
          <w:vertAlign w:val="superscript"/>
        </w:rPr>
        <w:footnoteReference w:id="1"/>
      </w:r>
      <w:r w:rsidRPr="00B06880">
        <w:rPr>
          <w:rFonts w:asciiTheme="minorHAnsi" w:hAnsiTheme="minorHAnsi" w:cstheme="minorBidi"/>
          <w:bCs/>
          <w:i/>
          <w:iCs/>
        </w:rPr>
        <w:t xml:space="preserve"> l’an du prix des constructions indiqué au présent acte, et ce à partir de la date d’achèvement de l’immeuble vendu/des immeubles vendus / [logement achevé à l’acte] du présent acte, ainsi que toutes les moins-values extraordinaires de l’ensemble d’habitation dont fait partie l’immeuble vendu/ les éléments immobiliers vendus dues à la faute ou à la négligence de l’acquéreur ou des personnes occupant l’immeuble vendu/les éléments immobiliers avec lui.</w:t>
      </w:r>
      <w:r w:rsidR="00997B86">
        <w:rPr>
          <w:rFonts w:asciiTheme="minorHAnsi" w:hAnsiTheme="minorHAnsi" w:cstheme="minorBidi"/>
          <w:bCs/>
          <w:i/>
          <w:iCs/>
        </w:rPr>
        <w:t xml:space="preserve"> La valeur du terrain n’est pas prise en considération lors de la détermination de cette moins-value.</w:t>
      </w:r>
    </w:p>
    <w:p w14:paraId="4FDBB194" w14:textId="07DE31F8" w:rsidR="00B06880" w:rsidRDefault="00B06880" w:rsidP="00B06880">
      <w:pPr>
        <w:jc w:val="both"/>
        <w:rPr>
          <w:rFonts w:asciiTheme="minorHAnsi" w:hAnsiTheme="minorHAnsi" w:cstheme="minorBidi"/>
          <w:bCs/>
          <w:i/>
          <w:iCs/>
        </w:rPr>
      </w:pPr>
    </w:p>
    <w:p w14:paraId="43ADF569" w14:textId="7F78758B" w:rsidR="00B06880" w:rsidRDefault="00B06880" w:rsidP="00B06880">
      <w:pPr>
        <w:jc w:val="both"/>
        <w:rPr>
          <w:rFonts w:asciiTheme="minorHAnsi" w:hAnsiTheme="minorHAnsi" w:cstheme="minorBidi"/>
          <w:bCs/>
          <w:i/>
          <w:iCs/>
        </w:rPr>
      </w:pPr>
      <w:r w:rsidRPr="00B06880">
        <w:rPr>
          <w:rFonts w:asciiTheme="minorHAnsi" w:hAnsiTheme="minorHAnsi" w:cstheme="minorBidi"/>
          <w:bCs/>
          <w:i/>
          <w:iCs/>
        </w:rPr>
        <w:t xml:space="preserve">Au montant ainsi obtenu </w:t>
      </w:r>
      <w:proofErr w:type="gramStart"/>
      <w:r w:rsidRPr="00B06880">
        <w:rPr>
          <w:rFonts w:asciiTheme="minorHAnsi" w:hAnsiTheme="minorHAnsi" w:cstheme="minorBidi"/>
          <w:bCs/>
          <w:i/>
          <w:iCs/>
        </w:rPr>
        <w:t>est</w:t>
      </w:r>
      <w:proofErr w:type="gramEnd"/>
      <w:r w:rsidRPr="00B06880">
        <w:rPr>
          <w:rFonts w:asciiTheme="minorHAnsi" w:hAnsiTheme="minorHAnsi" w:cstheme="minorBidi"/>
          <w:bCs/>
          <w:i/>
          <w:iCs/>
        </w:rPr>
        <w:t xml:space="preserve"> rajouté la valeur des travaux d’amélioration et de rénovation derniers en date sur base de factures dûment acquittées, ainsi que la valeur résiduelle des immeubles par destination (comme la cuisine et le mobilier encastré) sur base de factures dûment acquittées. Les immeubles par destination</w:t>
      </w:r>
      <w:r w:rsidRPr="00B06880">
        <w:rPr>
          <w:rFonts w:asciiTheme="minorHAnsi" w:hAnsiTheme="minorHAnsi" w:cstheme="minorBidi"/>
          <w:bCs/>
          <w:i/>
          <w:iCs/>
          <w:vertAlign w:val="superscript"/>
        </w:rPr>
        <w:footnoteReference w:id="2"/>
      </w:r>
      <w:r w:rsidRPr="00B06880">
        <w:rPr>
          <w:rFonts w:asciiTheme="minorHAnsi" w:hAnsiTheme="minorHAnsi" w:cstheme="minorBidi"/>
          <w:bCs/>
          <w:i/>
          <w:iCs/>
        </w:rPr>
        <w:t xml:space="preserve"> sont considérés comme étant amortis linéairement sur dix (10) ans.</w:t>
      </w:r>
    </w:p>
    <w:p w14:paraId="4B4248F6" w14:textId="77777777" w:rsidR="00B06880" w:rsidRPr="00B06880" w:rsidRDefault="00B06880" w:rsidP="00B06880">
      <w:pPr>
        <w:jc w:val="both"/>
        <w:rPr>
          <w:rFonts w:asciiTheme="minorHAnsi" w:hAnsiTheme="minorHAnsi" w:cstheme="minorBidi"/>
          <w:bCs/>
          <w:i/>
          <w:iCs/>
        </w:rPr>
      </w:pPr>
    </w:p>
    <w:p w14:paraId="722FB714" w14:textId="03AC9125" w:rsidR="00B06880" w:rsidRPr="00B06880" w:rsidRDefault="00B06880" w:rsidP="00B06880">
      <w:pPr>
        <w:jc w:val="both"/>
        <w:rPr>
          <w:rFonts w:asciiTheme="minorHAnsi" w:hAnsiTheme="minorHAnsi" w:cstheme="minorBidi"/>
          <w:bCs/>
          <w:i/>
          <w:iCs/>
        </w:rPr>
      </w:pPr>
      <w:r w:rsidRPr="00B06880">
        <w:rPr>
          <w:rFonts w:asciiTheme="minorHAnsi" w:hAnsiTheme="minorHAnsi" w:cstheme="minorBidi"/>
          <w:bCs/>
          <w:i/>
          <w:iCs/>
        </w:rPr>
        <w:t>Les travaux de peinture et les installations de luxe ne sont pas pris en considération.</w:t>
      </w:r>
    </w:p>
    <w:p w14:paraId="04D99918" w14:textId="011050F6" w:rsidR="00B06880" w:rsidRDefault="00B06880" w:rsidP="00B35BA1">
      <w:pPr>
        <w:jc w:val="both"/>
        <w:rPr>
          <w:rFonts w:asciiTheme="minorHAnsi" w:hAnsiTheme="minorHAnsi" w:cstheme="minorBidi"/>
          <w:bCs/>
          <w:i/>
          <w:iCs/>
        </w:rPr>
      </w:pPr>
    </w:p>
    <w:p w14:paraId="69FEB0E0" w14:textId="518BF38D" w:rsidR="00B06880" w:rsidRDefault="00B06880" w:rsidP="00B06880">
      <w:pPr>
        <w:jc w:val="both"/>
        <w:rPr>
          <w:rFonts w:asciiTheme="minorHAnsi" w:hAnsiTheme="minorHAnsi" w:cstheme="minorBidi"/>
          <w:bCs/>
          <w:i/>
          <w:iCs/>
        </w:rPr>
      </w:pPr>
      <w:r w:rsidRPr="00B06880">
        <w:rPr>
          <w:rFonts w:asciiTheme="minorHAnsi" w:hAnsiTheme="minorHAnsi" w:cstheme="minorBidi"/>
          <w:bCs/>
          <w:i/>
          <w:iCs/>
        </w:rPr>
        <w:t>Le logement devra être vendu libre de tout encombrant et de tout meuble. A défaut, les frais d’enlèvement seront déduits du prix de rachat.</w:t>
      </w:r>
    </w:p>
    <w:p w14:paraId="010B4750" w14:textId="7DC82CD1" w:rsidR="00B06880" w:rsidRDefault="00B06880" w:rsidP="00B06880">
      <w:pPr>
        <w:jc w:val="both"/>
        <w:rPr>
          <w:rFonts w:asciiTheme="minorHAnsi" w:hAnsiTheme="minorHAnsi" w:cstheme="minorBidi"/>
          <w:bCs/>
          <w:i/>
          <w:iCs/>
        </w:rPr>
      </w:pPr>
    </w:p>
    <w:p w14:paraId="2E10831B" w14:textId="2C9E4E2D" w:rsidR="00B06880" w:rsidRDefault="00B06880" w:rsidP="00B06880">
      <w:pPr>
        <w:jc w:val="both"/>
        <w:rPr>
          <w:rFonts w:asciiTheme="minorHAnsi" w:hAnsiTheme="minorHAnsi" w:cstheme="minorBidi"/>
          <w:bCs/>
          <w:i/>
          <w:iCs/>
        </w:rPr>
      </w:pPr>
      <w:r w:rsidRPr="00B06880">
        <w:rPr>
          <w:rFonts w:asciiTheme="minorHAnsi" w:hAnsiTheme="minorHAnsi" w:cstheme="minorBidi"/>
          <w:bCs/>
          <w:i/>
          <w:iCs/>
        </w:rPr>
        <w:t xml:space="preserve">Le droit de </w:t>
      </w:r>
      <w:r w:rsidR="008E7BCF">
        <w:rPr>
          <w:rFonts w:asciiTheme="minorHAnsi" w:hAnsiTheme="minorHAnsi" w:cstheme="minorBidi"/>
          <w:bCs/>
          <w:i/>
          <w:iCs/>
        </w:rPr>
        <w:t>préemption conventionnel</w:t>
      </w:r>
      <w:r w:rsidRPr="00B06880">
        <w:rPr>
          <w:rFonts w:asciiTheme="minorHAnsi" w:hAnsiTheme="minorHAnsi" w:cstheme="minorBidi"/>
          <w:bCs/>
          <w:i/>
          <w:iCs/>
        </w:rPr>
        <w:t xml:space="preserve"> perd tous ses effets dans l'éventualité d'une aliénation des susdits bien</w:t>
      </w:r>
      <w:r>
        <w:rPr>
          <w:rFonts w:asciiTheme="minorHAnsi" w:hAnsiTheme="minorHAnsi" w:cstheme="minorBidi"/>
          <w:bCs/>
          <w:i/>
          <w:iCs/>
        </w:rPr>
        <w:t xml:space="preserve">s </w:t>
      </w:r>
      <w:r w:rsidRPr="00B06880">
        <w:rPr>
          <w:rFonts w:asciiTheme="minorHAnsi" w:hAnsiTheme="minorHAnsi" w:cstheme="minorBidi"/>
          <w:bCs/>
          <w:i/>
          <w:iCs/>
        </w:rPr>
        <w:t>par adjudication publique forcée, tenue à la requête d'un établissement de crédit conformément aux dispositions de l'article 879 et suivants du Nouveau Code de Procédure Civile.</w:t>
      </w:r>
    </w:p>
    <w:p w14:paraId="21D60F07" w14:textId="0CBEB454" w:rsidR="00B06880" w:rsidRDefault="00B06880" w:rsidP="00B06880">
      <w:pPr>
        <w:jc w:val="both"/>
        <w:rPr>
          <w:rFonts w:asciiTheme="minorHAnsi" w:hAnsiTheme="minorHAnsi" w:cstheme="minorBidi"/>
          <w:bCs/>
          <w:i/>
          <w:iCs/>
        </w:rPr>
      </w:pPr>
    </w:p>
    <w:p w14:paraId="482205BA" w14:textId="77777777" w:rsidR="00B06880" w:rsidRPr="00B06880" w:rsidRDefault="00B06880" w:rsidP="00B06880">
      <w:pPr>
        <w:jc w:val="both"/>
        <w:rPr>
          <w:rFonts w:asciiTheme="minorHAnsi" w:hAnsiTheme="minorHAnsi" w:cstheme="minorBidi"/>
          <w:bCs/>
          <w:i/>
          <w:iCs/>
        </w:rPr>
      </w:pPr>
    </w:p>
    <w:p w14:paraId="263D2431" w14:textId="6FBB261D" w:rsidR="00556954" w:rsidRDefault="00556954" w:rsidP="00556954">
      <w:pPr>
        <w:jc w:val="both"/>
        <w:rPr>
          <w:rFonts w:asciiTheme="minorHAnsi" w:hAnsiTheme="minorHAnsi" w:cstheme="minorBidi"/>
          <w:bCs/>
          <w:i/>
          <w:iCs/>
        </w:rPr>
      </w:pPr>
      <w:r w:rsidRPr="00556954">
        <w:rPr>
          <w:rFonts w:asciiTheme="minorHAnsi" w:hAnsiTheme="minorHAnsi" w:cstheme="minorBidi"/>
          <w:bCs/>
          <w:i/>
          <w:iCs/>
        </w:rPr>
        <w:t xml:space="preserve">Au cas où il serait procédé au transfert de propriété de l’immeuble vendu/des éléments immobiliers vendus avant leur achèvement, </w:t>
      </w:r>
      <w:r>
        <w:rPr>
          <w:rFonts w:asciiTheme="minorHAnsi" w:hAnsiTheme="minorHAnsi" w:cstheme="minorBidi"/>
          <w:bCs/>
          <w:i/>
          <w:iCs/>
        </w:rPr>
        <w:t>la Commune</w:t>
      </w:r>
      <w:r w:rsidRPr="00556954">
        <w:rPr>
          <w:rFonts w:asciiTheme="minorHAnsi" w:hAnsiTheme="minorHAnsi" w:cstheme="minorBidi"/>
          <w:bCs/>
          <w:i/>
          <w:iCs/>
        </w:rPr>
        <w:t xml:space="preserve"> bénéficie également d'un droit de </w:t>
      </w:r>
      <w:r w:rsidR="008E7BCF">
        <w:rPr>
          <w:rFonts w:asciiTheme="minorHAnsi" w:hAnsiTheme="minorHAnsi" w:cstheme="minorBidi"/>
          <w:bCs/>
          <w:i/>
          <w:iCs/>
        </w:rPr>
        <w:t>préemption conventionnel</w:t>
      </w:r>
      <w:r w:rsidRPr="00556954">
        <w:rPr>
          <w:rFonts w:asciiTheme="minorHAnsi" w:hAnsiTheme="minorHAnsi" w:cstheme="minorBidi"/>
          <w:bCs/>
          <w:i/>
          <w:iCs/>
        </w:rPr>
        <w:t xml:space="preserve"> qu'</w:t>
      </w:r>
      <w:r>
        <w:rPr>
          <w:rFonts w:asciiTheme="minorHAnsi" w:hAnsiTheme="minorHAnsi" w:cstheme="minorBidi"/>
          <w:bCs/>
          <w:i/>
          <w:iCs/>
        </w:rPr>
        <w:t>el</w:t>
      </w:r>
      <w:r w:rsidRPr="00556954">
        <w:rPr>
          <w:rFonts w:asciiTheme="minorHAnsi" w:hAnsiTheme="minorHAnsi" w:cstheme="minorBidi"/>
          <w:bCs/>
          <w:i/>
          <w:iCs/>
        </w:rPr>
        <w:t>l</w:t>
      </w:r>
      <w:r>
        <w:rPr>
          <w:rFonts w:asciiTheme="minorHAnsi" w:hAnsiTheme="minorHAnsi" w:cstheme="minorBidi"/>
          <w:bCs/>
          <w:i/>
          <w:iCs/>
        </w:rPr>
        <w:t>e</w:t>
      </w:r>
      <w:r w:rsidRPr="00556954">
        <w:rPr>
          <w:rFonts w:asciiTheme="minorHAnsi" w:hAnsiTheme="minorHAnsi" w:cstheme="minorBidi"/>
          <w:bCs/>
          <w:i/>
          <w:iCs/>
        </w:rPr>
        <w:t xml:space="preserve"> exerce dans les mêmes conditions que celles visées aux paragraphes précédents.</w:t>
      </w:r>
    </w:p>
    <w:p w14:paraId="35C86372" w14:textId="77777777" w:rsidR="00556954" w:rsidRPr="00556954" w:rsidRDefault="00556954" w:rsidP="00556954">
      <w:pPr>
        <w:jc w:val="both"/>
        <w:rPr>
          <w:rFonts w:asciiTheme="minorHAnsi" w:hAnsiTheme="minorHAnsi" w:cstheme="minorBidi"/>
          <w:bCs/>
          <w:i/>
          <w:iCs/>
        </w:rPr>
      </w:pPr>
    </w:p>
    <w:p w14:paraId="12A245A5" w14:textId="1B2D7370" w:rsidR="00556954" w:rsidRPr="00556954" w:rsidRDefault="00556954" w:rsidP="00556954">
      <w:pPr>
        <w:jc w:val="both"/>
        <w:rPr>
          <w:rFonts w:asciiTheme="minorHAnsi" w:hAnsiTheme="minorHAnsi" w:cstheme="minorBidi"/>
          <w:bCs/>
          <w:i/>
          <w:iCs/>
        </w:rPr>
      </w:pPr>
      <w:r w:rsidRPr="00556954">
        <w:rPr>
          <w:rFonts w:asciiTheme="minorHAnsi" w:hAnsiTheme="minorHAnsi" w:cstheme="minorBidi"/>
          <w:bCs/>
          <w:i/>
          <w:iCs/>
        </w:rPr>
        <w:t xml:space="preserve">Le prix que </w:t>
      </w:r>
      <w:r>
        <w:rPr>
          <w:rFonts w:asciiTheme="minorHAnsi" w:hAnsiTheme="minorHAnsi" w:cstheme="minorBidi"/>
          <w:bCs/>
          <w:i/>
          <w:iCs/>
        </w:rPr>
        <w:t>la Commune</w:t>
      </w:r>
      <w:r w:rsidRPr="00556954">
        <w:rPr>
          <w:rFonts w:asciiTheme="minorHAnsi" w:hAnsiTheme="minorHAnsi" w:cstheme="minorBidi"/>
          <w:bCs/>
          <w:i/>
          <w:iCs/>
        </w:rPr>
        <w:t xml:space="preserve"> aura à verser sera égal au prix que l'acquéreur aura payé et quel que soit par ailleurs le prix offert par un tiers amateur.</w:t>
      </w:r>
    </w:p>
    <w:p w14:paraId="43BB5C72" w14:textId="77777777" w:rsidR="00B06880" w:rsidRDefault="00B06880" w:rsidP="00B35BA1">
      <w:pPr>
        <w:jc w:val="both"/>
        <w:rPr>
          <w:rFonts w:asciiTheme="minorHAnsi" w:hAnsiTheme="minorHAnsi" w:cstheme="minorBidi"/>
          <w:bCs/>
          <w:i/>
          <w:iCs/>
        </w:rPr>
      </w:pPr>
    </w:p>
    <w:p w14:paraId="1D942282" w14:textId="3EE75C0D" w:rsidR="00B35BA1" w:rsidRPr="00B35BA1" w:rsidRDefault="00B35BA1" w:rsidP="00B35BA1">
      <w:pPr>
        <w:jc w:val="both"/>
        <w:rPr>
          <w:rFonts w:asciiTheme="minorHAnsi" w:hAnsiTheme="minorHAnsi" w:cstheme="minorBidi"/>
          <w:bCs/>
          <w:i/>
          <w:iCs/>
        </w:rPr>
      </w:pPr>
      <w:r w:rsidRPr="00B35BA1">
        <w:rPr>
          <w:rFonts w:asciiTheme="minorHAnsi" w:hAnsiTheme="minorHAnsi" w:cstheme="minorBidi"/>
          <w:bCs/>
          <w:i/>
          <w:iCs/>
        </w:rPr>
        <w:t xml:space="preserve">Il est entendu que la Commune peut se faire substituer par l’Etat ou un autre promoteur public dans l’exercice du droit de </w:t>
      </w:r>
      <w:r w:rsidR="008E7BCF">
        <w:rPr>
          <w:rFonts w:asciiTheme="minorHAnsi" w:hAnsiTheme="minorHAnsi" w:cstheme="minorBidi"/>
          <w:bCs/>
          <w:i/>
          <w:iCs/>
        </w:rPr>
        <w:t>préemption conventionnel</w:t>
      </w:r>
      <w:r w:rsidRPr="00B35BA1">
        <w:rPr>
          <w:rFonts w:asciiTheme="minorHAnsi" w:hAnsiTheme="minorHAnsi" w:cstheme="minorBidi"/>
          <w:bCs/>
          <w:i/>
          <w:iCs/>
        </w:rPr>
        <w:t>.</w:t>
      </w:r>
    </w:p>
    <w:p w14:paraId="00F5C001" w14:textId="6B62A471" w:rsidR="00C42E02" w:rsidRDefault="00C42E02" w:rsidP="00B35BA1">
      <w:pPr>
        <w:jc w:val="both"/>
        <w:rPr>
          <w:rFonts w:asciiTheme="minorHAnsi" w:hAnsiTheme="minorHAnsi" w:cstheme="minorBidi"/>
          <w:i/>
          <w:iCs/>
        </w:rPr>
      </w:pPr>
      <w:r w:rsidRPr="004B11FD">
        <w:rPr>
          <w:rFonts w:asciiTheme="minorHAnsi" w:hAnsiTheme="minorHAnsi" w:cstheme="minorBidi"/>
          <w:i/>
          <w:iCs/>
        </w:rPr>
        <w:t>»</w:t>
      </w:r>
    </w:p>
    <w:p w14:paraId="22447963" w14:textId="77777777" w:rsidR="008549D9" w:rsidRPr="00616C6B" w:rsidRDefault="008549D9">
      <w:pPr>
        <w:jc w:val="both"/>
        <w:rPr>
          <w:rFonts w:asciiTheme="minorHAnsi" w:hAnsiTheme="minorHAnsi" w:cstheme="minorBidi"/>
        </w:rPr>
      </w:pPr>
    </w:p>
    <w:p w14:paraId="44E19460" w14:textId="62F98E33" w:rsidR="00C42E02" w:rsidRPr="00616C6B" w:rsidRDefault="00C42E02" w:rsidP="00616C6B">
      <w:pPr>
        <w:pStyle w:val="BodyText"/>
        <w:numPr>
          <w:ilvl w:val="0"/>
          <w:numId w:val="6"/>
        </w:numPr>
        <w:spacing w:before="1" w:line="249" w:lineRule="auto"/>
        <w:ind w:right="142"/>
        <w:jc w:val="both"/>
        <w:rPr>
          <w:rFonts w:asciiTheme="minorHAnsi" w:hAnsiTheme="minorHAnsi" w:cstheme="minorBidi"/>
          <w:sz w:val="22"/>
          <w:szCs w:val="22"/>
        </w:rPr>
      </w:pPr>
      <w:r w:rsidRPr="004B11FD">
        <w:rPr>
          <w:rFonts w:asciiTheme="minorHAnsi" w:hAnsiTheme="minorHAnsi" w:cstheme="minorBidi"/>
          <w:w w:val="105"/>
          <w:sz w:val="22"/>
          <w:szCs w:val="22"/>
        </w:rPr>
        <w:t>La</w:t>
      </w:r>
      <w:r w:rsidRPr="004B11FD">
        <w:rPr>
          <w:rFonts w:asciiTheme="minorHAnsi" w:hAnsiTheme="minorHAnsi" w:cstheme="minorBidi"/>
          <w:spacing w:val="-2"/>
          <w:w w:val="105"/>
          <w:sz w:val="22"/>
          <w:szCs w:val="22"/>
        </w:rPr>
        <w:t xml:space="preserve"> </w:t>
      </w:r>
      <w:r w:rsidRPr="004B11FD">
        <w:rPr>
          <w:rFonts w:asciiTheme="minorHAnsi" w:hAnsiTheme="minorHAnsi" w:cstheme="minorBidi"/>
          <w:w w:val="105"/>
          <w:sz w:val="22"/>
          <w:szCs w:val="22"/>
        </w:rPr>
        <w:t>TVA</w:t>
      </w:r>
      <w:r w:rsidRPr="004B11FD">
        <w:rPr>
          <w:rFonts w:asciiTheme="minorHAnsi" w:hAnsiTheme="minorHAnsi" w:cstheme="minorBidi"/>
          <w:spacing w:val="-2"/>
          <w:w w:val="105"/>
          <w:sz w:val="22"/>
          <w:szCs w:val="22"/>
        </w:rPr>
        <w:t xml:space="preserve"> </w:t>
      </w:r>
      <w:r w:rsidRPr="00335DAC">
        <w:rPr>
          <w:rFonts w:asciiTheme="minorHAnsi" w:hAnsiTheme="minorHAnsi" w:cstheme="minorBidi"/>
          <w:w w:val="105"/>
          <w:sz w:val="22"/>
          <w:szCs w:val="22"/>
        </w:rPr>
        <w:t>applicable</w:t>
      </w:r>
      <w:r w:rsidRPr="00335DAC">
        <w:rPr>
          <w:rFonts w:asciiTheme="minorHAnsi" w:hAnsiTheme="minorHAnsi" w:cstheme="minorBidi"/>
          <w:spacing w:val="1"/>
          <w:w w:val="105"/>
          <w:sz w:val="22"/>
          <w:szCs w:val="22"/>
        </w:rPr>
        <w:t xml:space="preserve"> </w:t>
      </w:r>
      <w:r w:rsidR="0090435F" w:rsidRPr="00335DAC">
        <w:rPr>
          <w:rFonts w:asciiTheme="minorHAnsi" w:hAnsiTheme="minorHAnsi" w:cstheme="minorBidi"/>
          <w:w w:val="105"/>
          <w:sz w:val="22"/>
          <w:szCs w:val="22"/>
        </w:rPr>
        <w:t>est</w:t>
      </w:r>
      <w:r w:rsidR="0090435F" w:rsidRPr="00335DAC">
        <w:rPr>
          <w:rFonts w:asciiTheme="minorHAnsi" w:hAnsiTheme="minorHAnsi" w:cstheme="minorBidi"/>
          <w:spacing w:val="-2"/>
          <w:w w:val="105"/>
          <w:sz w:val="22"/>
          <w:szCs w:val="22"/>
        </w:rPr>
        <w:t xml:space="preserve"> </w:t>
      </w:r>
      <w:r w:rsidRPr="00335DAC">
        <w:rPr>
          <w:rFonts w:asciiTheme="minorHAnsi" w:hAnsiTheme="minorHAnsi" w:cstheme="minorBidi"/>
          <w:w w:val="105"/>
          <w:sz w:val="22"/>
          <w:szCs w:val="22"/>
        </w:rPr>
        <w:t>celle</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en</w:t>
      </w:r>
      <w:r w:rsidRPr="00335DAC">
        <w:rPr>
          <w:rFonts w:asciiTheme="minorHAnsi" w:hAnsiTheme="minorHAnsi" w:cstheme="minorBidi"/>
          <w:spacing w:val="-3"/>
          <w:w w:val="105"/>
          <w:sz w:val="22"/>
          <w:szCs w:val="22"/>
        </w:rPr>
        <w:t xml:space="preserve"> </w:t>
      </w:r>
      <w:r w:rsidRPr="00335DAC">
        <w:rPr>
          <w:rFonts w:asciiTheme="minorHAnsi" w:hAnsiTheme="minorHAnsi" w:cstheme="minorBidi"/>
          <w:w w:val="105"/>
          <w:sz w:val="22"/>
          <w:szCs w:val="22"/>
        </w:rPr>
        <w:t>vigueur</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au</w:t>
      </w:r>
      <w:r w:rsidRPr="00335DAC">
        <w:rPr>
          <w:rFonts w:asciiTheme="minorHAnsi" w:hAnsiTheme="minorHAnsi" w:cstheme="minorBidi"/>
          <w:spacing w:val="-3"/>
          <w:w w:val="105"/>
          <w:sz w:val="22"/>
          <w:szCs w:val="22"/>
        </w:rPr>
        <w:t xml:space="preserve"> </w:t>
      </w:r>
      <w:r w:rsidRPr="00335DAC">
        <w:rPr>
          <w:rFonts w:asciiTheme="minorHAnsi" w:hAnsiTheme="minorHAnsi" w:cstheme="minorBidi"/>
          <w:w w:val="105"/>
          <w:sz w:val="22"/>
          <w:szCs w:val="22"/>
        </w:rPr>
        <w:t>moment</w:t>
      </w:r>
      <w:r w:rsidRPr="00335DAC">
        <w:rPr>
          <w:rFonts w:asciiTheme="minorHAnsi" w:hAnsiTheme="minorHAnsi" w:cstheme="minorBidi"/>
          <w:spacing w:val="-4"/>
          <w:w w:val="105"/>
          <w:sz w:val="22"/>
          <w:szCs w:val="22"/>
        </w:rPr>
        <w:t xml:space="preserve"> </w:t>
      </w:r>
      <w:r w:rsidRPr="00335DAC">
        <w:rPr>
          <w:rFonts w:asciiTheme="minorHAnsi" w:hAnsiTheme="minorHAnsi" w:cstheme="minorBidi"/>
          <w:w w:val="105"/>
          <w:sz w:val="22"/>
          <w:szCs w:val="22"/>
        </w:rPr>
        <w:t>de</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la</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signature de</w:t>
      </w:r>
      <w:r w:rsidRPr="00335DAC">
        <w:rPr>
          <w:rFonts w:asciiTheme="minorHAnsi" w:hAnsiTheme="minorHAnsi" w:cstheme="minorBidi"/>
          <w:spacing w:val="-3"/>
          <w:w w:val="105"/>
          <w:sz w:val="22"/>
          <w:szCs w:val="22"/>
        </w:rPr>
        <w:t xml:space="preserve"> </w:t>
      </w:r>
      <w:r w:rsidRPr="00335DAC">
        <w:rPr>
          <w:rFonts w:asciiTheme="minorHAnsi" w:hAnsiTheme="minorHAnsi" w:cstheme="minorBidi"/>
          <w:w w:val="105"/>
          <w:sz w:val="22"/>
          <w:szCs w:val="22"/>
        </w:rPr>
        <w:t>la</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cession</w:t>
      </w:r>
      <w:r w:rsidRPr="00335DAC">
        <w:rPr>
          <w:rFonts w:asciiTheme="minorHAnsi" w:hAnsiTheme="minorHAnsi" w:cstheme="minorBidi"/>
          <w:spacing w:val="-6"/>
          <w:w w:val="105"/>
          <w:sz w:val="22"/>
          <w:szCs w:val="22"/>
        </w:rPr>
        <w:t xml:space="preserve"> </w:t>
      </w:r>
      <w:r w:rsidRPr="00335DAC">
        <w:rPr>
          <w:rFonts w:asciiTheme="minorHAnsi" w:hAnsiTheme="minorHAnsi" w:cstheme="minorBidi"/>
          <w:w w:val="105"/>
          <w:sz w:val="22"/>
          <w:szCs w:val="22"/>
        </w:rPr>
        <w:t>des</w:t>
      </w:r>
      <w:r w:rsidRPr="00335DAC">
        <w:rPr>
          <w:rFonts w:asciiTheme="minorHAnsi" w:hAnsiTheme="minorHAnsi" w:cstheme="minorBidi"/>
          <w:spacing w:val="-2"/>
          <w:w w:val="105"/>
          <w:sz w:val="22"/>
          <w:szCs w:val="22"/>
        </w:rPr>
        <w:t xml:space="preserve"> </w:t>
      </w:r>
      <w:r w:rsidRPr="00335DAC">
        <w:rPr>
          <w:rFonts w:asciiTheme="minorHAnsi" w:hAnsiTheme="minorHAnsi" w:cstheme="minorBidi"/>
          <w:w w:val="105"/>
          <w:sz w:val="22"/>
          <w:szCs w:val="22"/>
        </w:rPr>
        <w:t>lots</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en</w:t>
      </w:r>
      <w:r w:rsidRPr="00335DAC">
        <w:rPr>
          <w:rFonts w:asciiTheme="minorHAnsi" w:hAnsiTheme="minorHAnsi" w:cstheme="minorBidi"/>
          <w:spacing w:val="-3"/>
          <w:w w:val="105"/>
          <w:sz w:val="22"/>
          <w:szCs w:val="22"/>
        </w:rPr>
        <w:t xml:space="preserve"> </w:t>
      </w:r>
      <w:r w:rsidRPr="00335DAC">
        <w:rPr>
          <w:rFonts w:asciiTheme="minorHAnsi" w:hAnsiTheme="minorHAnsi" w:cstheme="minorBidi"/>
          <w:w w:val="105"/>
          <w:sz w:val="22"/>
          <w:szCs w:val="22"/>
        </w:rPr>
        <w:t>vente</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en</w:t>
      </w:r>
      <w:r w:rsidR="00A10F66">
        <w:rPr>
          <w:rFonts w:asciiTheme="minorHAnsi" w:hAnsiTheme="minorHAnsi" w:cstheme="minorBidi"/>
          <w:w w:val="105"/>
          <w:sz w:val="22"/>
          <w:szCs w:val="22"/>
        </w:rPr>
        <w:t xml:space="preserve"> </w:t>
      </w:r>
      <w:r w:rsidRPr="00335DAC">
        <w:rPr>
          <w:rFonts w:asciiTheme="minorHAnsi" w:hAnsiTheme="minorHAnsi" w:cstheme="minorBidi"/>
          <w:spacing w:val="-45"/>
          <w:w w:val="105"/>
          <w:sz w:val="22"/>
          <w:szCs w:val="22"/>
        </w:rPr>
        <w:t xml:space="preserve"> </w:t>
      </w:r>
      <w:r w:rsidR="00B35BA1">
        <w:rPr>
          <w:rFonts w:asciiTheme="minorHAnsi" w:hAnsiTheme="minorHAnsi" w:cstheme="minorBidi"/>
          <w:spacing w:val="-45"/>
          <w:w w:val="105"/>
          <w:sz w:val="22"/>
          <w:szCs w:val="22"/>
        </w:rPr>
        <w:t xml:space="preserve"> </w:t>
      </w:r>
      <w:r w:rsidRPr="00335DAC">
        <w:rPr>
          <w:rFonts w:asciiTheme="minorHAnsi" w:hAnsiTheme="minorHAnsi" w:cstheme="minorBidi"/>
          <w:w w:val="105"/>
          <w:sz w:val="22"/>
          <w:szCs w:val="22"/>
        </w:rPr>
        <w:t>l’état</w:t>
      </w:r>
      <w:r w:rsidRPr="00335DAC">
        <w:rPr>
          <w:rFonts w:asciiTheme="minorHAnsi" w:hAnsiTheme="minorHAnsi" w:cstheme="minorBidi"/>
          <w:spacing w:val="-2"/>
          <w:w w:val="105"/>
          <w:sz w:val="22"/>
          <w:szCs w:val="22"/>
        </w:rPr>
        <w:t xml:space="preserve"> </w:t>
      </w:r>
      <w:r w:rsidRPr="00335DAC">
        <w:rPr>
          <w:rFonts w:asciiTheme="minorHAnsi" w:hAnsiTheme="minorHAnsi" w:cstheme="minorBidi"/>
          <w:w w:val="105"/>
          <w:sz w:val="22"/>
          <w:szCs w:val="22"/>
        </w:rPr>
        <w:t>de</w:t>
      </w:r>
      <w:r w:rsidRPr="00335DAC">
        <w:rPr>
          <w:rFonts w:asciiTheme="minorHAnsi" w:hAnsiTheme="minorHAnsi" w:cstheme="minorBidi"/>
          <w:spacing w:val="-2"/>
          <w:w w:val="105"/>
          <w:sz w:val="22"/>
          <w:szCs w:val="22"/>
        </w:rPr>
        <w:t xml:space="preserve"> </w:t>
      </w:r>
      <w:r w:rsidRPr="00335DAC">
        <w:rPr>
          <w:rFonts w:asciiTheme="minorHAnsi" w:hAnsiTheme="minorHAnsi" w:cstheme="minorBidi"/>
          <w:w w:val="105"/>
          <w:sz w:val="22"/>
          <w:szCs w:val="22"/>
        </w:rPr>
        <w:t>futur achèvement.</w:t>
      </w:r>
    </w:p>
    <w:p w14:paraId="1D06098F" w14:textId="77777777" w:rsidR="00C42E02" w:rsidRPr="00940A4E" w:rsidRDefault="00C42E02" w:rsidP="00C42E02">
      <w:pPr>
        <w:pStyle w:val="BodyText"/>
        <w:spacing w:before="6"/>
        <w:jc w:val="both"/>
        <w:rPr>
          <w:rFonts w:asciiTheme="minorHAnsi" w:hAnsiTheme="minorHAnsi" w:cstheme="minorHAnsi"/>
          <w:sz w:val="22"/>
          <w:szCs w:val="22"/>
        </w:rPr>
      </w:pPr>
    </w:p>
    <w:p w14:paraId="6507CACA" w14:textId="1ADBE2D5" w:rsidR="00CF0EB9" w:rsidRPr="00616C6B" w:rsidRDefault="00C42E02" w:rsidP="00616C6B">
      <w:pPr>
        <w:pStyle w:val="BodyText"/>
        <w:spacing w:line="249" w:lineRule="auto"/>
        <w:ind w:right="143"/>
        <w:jc w:val="both"/>
        <w:rPr>
          <w:rFonts w:asciiTheme="minorHAnsi" w:hAnsiTheme="minorHAnsi" w:cstheme="minorBidi"/>
          <w:w w:val="105"/>
          <w:sz w:val="22"/>
          <w:szCs w:val="22"/>
        </w:rPr>
      </w:pPr>
      <w:r w:rsidRPr="004B11FD">
        <w:rPr>
          <w:rFonts w:asciiTheme="minorHAnsi" w:hAnsiTheme="minorHAnsi" w:cstheme="minorBidi"/>
          <w:w w:val="105"/>
          <w:sz w:val="22"/>
          <w:szCs w:val="22"/>
        </w:rPr>
        <w:t xml:space="preserve">Le paiement de la </w:t>
      </w:r>
      <w:r w:rsidR="0090435F" w:rsidRPr="004B11FD">
        <w:rPr>
          <w:rFonts w:asciiTheme="minorHAnsi" w:hAnsiTheme="minorHAnsi" w:cstheme="minorBidi"/>
          <w:w w:val="105"/>
          <w:sz w:val="22"/>
          <w:szCs w:val="22"/>
        </w:rPr>
        <w:t xml:space="preserve">quote-part </w:t>
      </w:r>
      <w:r w:rsidRPr="004B11FD">
        <w:rPr>
          <w:rFonts w:asciiTheme="minorHAnsi" w:hAnsiTheme="minorHAnsi" w:cstheme="minorBidi"/>
          <w:w w:val="105"/>
          <w:sz w:val="22"/>
          <w:szCs w:val="22"/>
        </w:rPr>
        <w:t xml:space="preserve">terrain et des frais d’études se </w:t>
      </w:r>
      <w:r w:rsidR="0090435F" w:rsidRPr="004B11FD">
        <w:rPr>
          <w:rFonts w:asciiTheme="minorHAnsi" w:hAnsiTheme="minorHAnsi" w:cstheme="minorBidi"/>
          <w:w w:val="105"/>
          <w:sz w:val="22"/>
          <w:szCs w:val="22"/>
        </w:rPr>
        <w:t xml:space="preserve">fait </w:t>
      </w:r>
      <w:r w:rsidRPr="00335DAC">
        <w:rPr>
          <w:rFonts w:asciiTheme="minorHAnsi" w:hAnsiTheme="minorHAnsi" w:cstheme="minorBidi"/>
          <w:w w:val="105"/>
          <w:sz w:val="22"/>
          <w:szCs w:val="22"/>
        </w:rPr>
        <w:t xml:space="preserve">à l’acte. La </w:t>
      </w:r>
      <w:r w:rsidR="0090435F" w:rsidRPr="00335DAC">
        <w:rPr>
          <w:rFonts w:asciiTheme="minorHAnsi" w:hAnsiTheme="minorHAnsi" w:cstheme="minorBidi"/>
          <w:w w:val="105"/>
          <w:sz w:val="22"/>
          <w:szCs w:val="22"/>
        </w:rPr>
        <w:t>quote-part</w:t>
      </w:r>
      <w:r w:rsidRPr="00335DAC">
        <w:rPr>
          <w:rFonts w:asciiTheme="minorHAnsi" w:hAnsiTheme="minorHAnsi" w:cstheme="minorBidi"/>
          <w:w w:val="105"/>
          <w:sz w:val="22"/>
          <w:szCs w:val="22"/>
        </w:rPr>
        <w:t xml:space="preserve"> constructions </w:t>
      </w:r>
      <w:r w:rsidR="0090435F" w:rsidRPr="00335DAC">
        <w:rPr>
          <w:rFonts w:asciiTheme="minorHAnsi" w:hAnsiTheme="minorHAnsi" w:cstheme="minorBidi"/>
          <w:w w:val="105"/>
          <w:sz w:val="22"/>
          <w:szCs w:val="22"/>
        </w:rPr>
        <w:t xml:space="preserve">est </w:t>
      </w:r>
      <w:r w:rsidRPr="00335DAC">
        <w:rPr>
          <w:rFonts w:asciiTheme="minorHAnsi" w:hAnsiTheme="minorHAnsi" w:cstheme="minorBidi"/>
          <w:w w:val="105"/>
          <w:sz w:val="22"/>
          <w:szCs w:val="22"/>
        </w:rPr>
        <w:t>facturée</w:t>
      </w:r>
      <w:r w:rsidRPr="00335DAC">
        <w:rPr>
          <w:rFonts w:asciiTheme="minorHAnsi" w:hAnsiTheme="minorHAnsi" w:cstheme="minorBidi"/>
          <w:spacing w:val="1"/>
          <w:w w:val="105"/>
          <w:sz w:val="22"/>
          <w:szCs w:val="22"/>
        </w:rPr>
        <w:t xml:space="preserve"> </w:t>
      </w:r>
      <w:r w:rsidRPr="00335DAC">
        <w:rPr>
          <w:rFonts w:asciiTheme="minorHAnsi" w:hAnsiTheme="minorHAnsi" w:cstheme="minorBidi"/>
          <w:w w:val="105"/>
          <w:sz w:val="22"/>
          <w:szCs w:val="22"/>
        </w:rPr>
        <w:t>suivant l’avancement du</w:t>
      </w:r>
      <w:r w:rsidRPr="00335DAC">
        <w:rPr>
          <w:rFonts w:asciiTheme="minorHAnsi" w:hAnsiTheme="minorHAnsi" w:cstheme="minorBidi"/>
          <w:spacing w:val="-3"/>
          <w:w w:val="105"/>
          <w:sz w:val="22"/>
          <w:szCs w:val="22"/>
        </w:rPr>
        <w:t xml:space="preserve"> </w:t>
      </w:r>
      <w:r w:rsidRPr="00335DAC">
        <w:rPr>
          <w:rFonts w:asciiTheme="minorHAnsi" w:hAnsiTheme="minorHAnsi" w:cstheme="minorBidi"/>
          <w:w w:val="105"/>
          <w:sz w:val="22"/>
          <w:szCs w:val="22"/>
        </w:rPr>
        <w:t>chantier.</w:t>
      </w:r>
    </w:p>
    <w:p w14:paraId="0099D5B5" w14:textId="415138DC" w:rsidR="006C6AF5" w:rsidRPr="00940A4E" w:rsidRDefault="006C6AF5">
      <w:pPr>
        <w:widowControl/>
        <w:autoSpaceDE/>
        <w:autoSpaceDN/>
        <w:spacing w:after="160" w:line="259" w:lineRule="auto"/>
        <w:rPr>
          <w:rFonts w:asciiTheme="minorHAnsi" w:hAnsiTheme="minorHAnsi" w:cstheme="minorHAnsi"/>
          <w:w w:val="105"/>
        </w:rPr>
      </w:pPr>
      <w:r w:rsidRPr="00940A4E">
        <w:rPr>
          <w:rFonts w:asciiTheme="minorHAnsi" w:hAnsiTheme="minorHAnsi" w:cstheme="minorHAnsi"/>
          <w:w w:val="105"/>
        </w:rPr>
        <w:br w:type="page"/>
      </w:r>
    </w:p>
    <w:p w14:paraId="63FF2663" w14:textId="7AF4B93E" w:rsidR="00370061" w:rsidRPr="00FF2837" w:rsidRDefault="00F97C46" w:rsidP="005F7E40">
      <w:pPr>
        <w:pStyle w:val="BodyText"/>
        <w:spacing w:line="249" w:lineRule="auto"/>
        <w:ind w:right="143"/>
        <w:jc w:val="both"/>
        <w:rPr>
          <w:rFonts w:asciiTheme="minorHAnsi" w:hAnsiTheme="minorHAnsi" w:cstheme="minorHAnsi"/>
          <w:b/>
          <w:w w:val="105"/>
          <w:sz w:val="22"/>
          <w:szCs w:val="22"/>
        </w:rPr>
      </w:pPr>
      <w:r>
        <w:rPr>
          <w:rFonts w:asciiTheme="minorHAnsi" w:hAnsiTheme="minorHAnsi" w:cstheme="minorHAnsi"/>
          <w:b/>
          <w:w w:val="105"/>
          <w:sz w:val="22"/>
          <w:szCs w:val="22"/>
        </w:rPr>
        <w:t>Annexe</w:t>
      </w:r>
      <w:r w:rsidR="00FF2837" w:rsidRPr="00FF2837">
        <w:rPr>
          <w:rFonts w:asciiTheme="minorHAnsi" w:hAnsiTheme="minorHAnsi" w:cstheme="minorHAnsi"/>
          <w:b/>
          <w:w w:val="105"/>
          <w:sz w:val="22"/>
          <w:szCs w:val="22"/>
        </w:rPr>
        <w:t> :</w:t>
      </w:r>
    </w:p>
    <w:p w14:paraId="6891EAB1" w14:textId="77777777" w:rsidR="00FF2837" w:rsidRDefault="00FF2837" w:rsidP="005F7E40">
      <w:pPr>
        <w:pStyle w:val="BodyText"/>
        <w:spacing w:line="249" w:lineRule="auto"/>
        <w:ind w:right="143"/>
        <w:jc w:val="both"/>
        <w:rPr>
          <w:rFonts w:asciiTheme="minorHAnsi" w:hAnsiTheme="minorHAnsi" w:cstheme="minorHAnsi"/>
          <w:w w:val="105"/>
          <w:sz w:val="22"/>
          <w:szCs w:val="22"/>
        </w:rPr>
      </w:pPr>
    </w:p>
    <w:p w14:paraId="26DD1599" w14:textId="77777777" w:rsidR="00FF2837" w:rsidRPr="00616C6B" w:rsidRDefault="00FF2837" w:rsidP="00FF2837">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4B11FD">
        <w:rPr>
          <w:rFonts w:asciiTheme="minorHAnsi" w:hAnsiTheme="minorHAnsi" w:cstheme="minorBidi"/>
        </w:rPr>
        <w:t>A titre d’indication pour le service technique des différentes administrations, en vue des négociations pour l’acquisition des unités de logements, à ne pas intégrer dans l’article de la convention !!!!</w:t>
      </w:r>
    </w:p>
    <w:p w14:paraId="13F85F9E" w14:textId="77777777" w:rsidR="00FF2837" w:rsidRDefault="00FF2837" w:rsidP="005F7E40">
      <w:pPr>
        <w:pStyle w:val="BodyText"/>
        <w:spacing w:line="249" w:lineRule="auto"/>
        <w:ind w:right="143"/>
        <w:jc w:val="both"/>
        <w:rPr>
          <w:rFonts w:asciiTheme="minorHAnsi" w:hAnsiTheme="minorHAnsi" w:cstheme="minorHAnsi"/>
          <w:w w:val="105"/>
          <w:sz w:val="22"/>
          <w:szCs w:val="22"/>
        </w:rPr>
      </w:pPr>
    </w:p>
    <w:p w14:paraId="07DE9973" w14:textId="77777777" w:rsidR="00370061" w:rsidRPr="00EB1E6F" w:rsidRDefault="00370061" w:rsidP="00370061">
      <w:pPr>
        <w:jc w:val="both"/>
        <w:rPr>
          <w:rFonts w:asciiTheme="minorHAnsi" w:hAnsiTheme="minorHAnsi" w:cstheme="minorHAnsi"/>
        </w:rPr>
      </w:pPr>
    </w:p>
    <w:p w14:paraId="104B78E3" w14:textId="77777777" w:rsidR="00370061" w:rsidRPr="00616C6B" w:rsidRDefault="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4B11FD">
        <w:rPr>
          <w:rFonts w:asciiTheme="minorHAnsi" w:hAnsiTheme="minorHAnsi" w:cstheme="minorBidi"/>
        </w:rPr>
        <w:t>Le prix de cession devrait être soumis à un double plafond:</w:t>
      </w:r>
    </w:p>
    <w:p w14:paraId="3A694D2C" w14:textId="77777777" w:rsidR="00370061" w:rsidRPr="00616C6B" w:rsidRDefault="0037006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ind w:hanging="720"/>
        <w:jc w:val="both"/>
        <w:rPr>
          <w:rFonts w:asciiTheme="minorHAnsi" w:hAnsiTheme="minorHAnsi" w:cstheme="minorBidi"/>
        </w:rPr>
      </w:pPr>
      <w:r w:rsidRPr="004B11FD">
        <w:rPr>
          <w:rFonts w:asciiTheme="minorHAnsi" w:hAnsiTheme="minorHAnsi" w:cstheme="minorBidi"/>
        </w:rPr>
        <w:t>Prix au m</w:t>
      </w:r>
      <w:r w:rsidRPr="004B11FD">
        <w:rPr>
          <w:rFonts w:asciiTheme="minorHAnsi" w:hAnsiTheme="minorHAnsi" w:cstheme="minorBidi"/>
          <w:vertAlign w:val="superscript"/>
        </w:rPr>
        <w:t>2</w:t>
      </w:r>
      <w:r w:rsidRPr="00335DAC">
        <w:rPr>
          <w:rFonts w:asciiTheme="minorHAnsi" w:hAnsiTheme="minorHAnsi" w:cstheme="minorBidi"/>
        </w:rPr>
        <w:t xml:space="preserve"> SUH = max. 80% des prix de vente annoncés par commune (Observatoire de l’habitat)</w:t>
      </w:r>
      <w:r w:rsidRPr="00EB1E6F">
        <w:rPr>
          <w:rFonts w:asciiTheme="minorHAnsi" w:hAnsiTheme="minorHAnsi" w:cstheme="minorHAnsi"/>
        </w:rPr>
        <w:br/>
      </w:r>
      <w:hyperlink r:id="rId11" w:history="1">
        <w:r w:rsidRPr="004B11FD">
          <w:rPr>
            <w:rStyle w:val="Hyperlink"/>
            <w:rFonts w:asciiTheme="minorHAnsi" w:hAnsiTheme="minorHAnsi" w:cstheme="minorBidi"/>
          </w:rPr>
          <w:t>https://</w:t>
        </w:r>
      </w:hyperlink>
      <w:hyperlink r:id="rId12" w:history="1">
        <w:r w:rsidRPr="004B11FD">
          <w:rPr>
            <w:rStyle w:val="Hyperlink"/>
            <w:rFonts w:asciiTheme="minorHAnsi" w:hAnsiTheme="minorHAnsi" w:cstheme="minorBidi"/>
          </w:rPr>
          <w:t>logement.public.lu/fr/observatoire-habitat/prix-de-vente/prix-de-vente-des-logements.html</w:t>
        </w:r>
      </w:hyperlink>
    </w:p>
    <w:p w14:paraId="74C25E02" w14:textId="3D7F8F7F" w:rsidR="00370061" w:rsidRPr="00616C6B" w:rsidRDefault="0037006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ind w:hanging="720"/>
        <w:jc w:val="both"/>
        <w:rPr>
          <w:rFonts w:asciiTheme="minorHAnsi" w:hAnsiTheme="minorHAnsi" w:cstheme="minorBidi"/>
        </w:rPr>
      </w:pPr>
      <w:r w:rsidRPr="004B11FD">
        <w:rPr>
          <w:rFonts w:asciiTheme="minorHAnsi" w:hAnsiTheme="minorHAnsi" w:cstheme="minorBidi"/>
        </w:rPr>
        <w:t>Dans les zones à haute pression foncière, le prix au m</w:t>
      </w:r>
      <w:r w:rsidRPr="004B11FD">
        <w:rPr>
          <w:rFonts w:asciiTheme="minorHAnsi" w:hAnsiTheme="minorHAnsi" w:cstheme="minorBidi"/>
          <w:vertAlign w:val="superscript"/>
        </w:rPr>
        <w:t>c</w:t>
      </w:r>
      <w:r w:rsidRPr="00335DAC">
        <w:rPr>
          <w:rFonts w:asciiTheme="minorHAnsi" w:hAnsiTheme="minorHAnsi" w:cstheme="minorBidi"/>
        </w:rPr>
        <w:t xml:space="preserve"> SUH - y compris un emplacement de stationnement et tous les locaux annexes - devrait en outre être plafonné</w:t>
      </w:r>
      <w:r w:rsidR="006C6AF5" w:rsidRPr="00335DAC">
        <w:rPr>
          <w:rStyle w:val="FootnoteReference"/>
          <w:rFonts w:asciiTheme="minorHAnsi" w:hAnsiTheme="minorHAnsi" w:cstheme="minorBidi"/>
        </w:rPr>
        <w:t>1</w:t>
      </w:r>
      <w:r w:rsidRPr="00335DAC">
        <w:rPr>
          <w:rFonts w:asciiTheme="minorHAnsi" w:hAnsiTheme="minorHAnsi" w:cstheme="minorBidi"/>
        </w:rPr>
        <w:t> :</w:t>
      </w:r>
    </w:p>
    <w:p w14:paraId="5F9D6870" w14:textId="77777777" w:rsidR="00370061" w:rsidRPr="00616C6B" w:rsidRDefault="0037006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ind w:hanging="720"/>
        <w:jc w:val="both"/>
        <w:rPr>
          <w:rFonts w:asciiTheme="minorHAnsi" w:hAnsiTheme="minorHAnsi" w:cstheme="minorBidi"/>
          <w:b/>
          <w:bCs/>
        </w:rPr>
      </w:pPr>
      <w:r w:rsidRPr="004B11FD">
        <w:rPr>
          <w:rFonts w:asciiTheme="minorHAnsi" w:hAnsiTheme="minorHAnsi" w:cstheme="minorBidi"/>
          <w:b/>
          <w:bCs/>
        </w:rPr>
        <w:t>MME pour une maison de type unifamilial :</w:t>
      </w:r>
    </w:p>
    <w:p w14:paraId="34BC7850" w14:textId="5F2FD4AC" w:rsidR="00370061" w:rsidRPr="00616C6B" w:rsidRDefault="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7C6CCA">
        <w:rPr>
          <w:rFonts w:asciiTheme="minorHAnsi" w:hAnsiTheme="minorHAnsi" w:cstheme="minorHAnsi"/>
        </w:rPr>
        <w:tab/>
      </w:r>
      <w:r w:rsidRPr="004B11FD">
        <w:rPr>
          <w:rFonts w:asciiTheme="minorHAnsi" w:hAnsiTheme="minorHAnsi" w:cstheme="minorBidi"/>
        </w:rPr>
        <w:t xml:space="preserve">Part foncier : </w:t>
      </w:r>
      <w:r w:rsidRPr="007C6CCA">
        <w:rPr>
          <w:rFonts w:asciiTheme="minorHAnsi" w:hAnsiTheme="minorHAnsi" w:cstheme="minorHAnsi"/>
        </w:rPr>
        <w:tab/>
      </w:r>
      <w:r w:rsidRPr="007C6CCA">
        <w:rPr>
          <w:rFonts w:asciiTheme="minorHAnsi" w:hAnsiTheme="minorHAnsi" w:cstheme="minorHAnsi"/>
        </w:rPr>
        <w:tab/>
      </w:r>
      <w:r w:rsidRPr="004B11FD">
        <w:rPr>
          <w:rFonts w:asciiTheme="minorHAnsi" w:hAnsiTheme="minorHAnsi" w:cstheme="minorBidi"/>
        </w:rPr>
        <w:t xml:space="preserve">jusqu’à 1.430 €/m2_SUH pour le terrain </w:t>
      </w:r>
      <w:r w:rsidR="00940A4E" w:rsidRPr="004B11FD">
        <w:rPr>
          <w:rFonts w:asciiTheme="minorHAnsi" w:hAnsiTheme="minorHAnsi" w:cstheme="minorBidi"/>
        </w:rPr>
        <w:t>net</w:t>
      </w:r>
    </w:p>
    <w:p w14:paraId="3D6076EB" w14:textId="3D746D33" w:rsidR="00370061" w:rsidRPr="00616C6B" w:rsidRDefault="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7C6CCA">
        <w:rPr>
          <w:rFonts w:asciiTheme="minorHAnsi" w:hAnsiTheme="minorHAnsi" w:cstheme="minorHAnsi"/>
        </w:rPr>
        <w:tab/>
      </w:r>
      <w:r w:rsidRPr="004B11FD">
        <w:rPr>
          <w:rFonts w:asciiTheme="minorHAnsi" w:hAnsiTheme="minorHAnsi" w:cstheme="minorBidi"/>
        </w:rPr>
        <w:t xml:space="preserve">Part construction : </w:t>
      </w:r>
      <w:r w:rsidRPr="007C6CCA">
        <w:rPr>
          <w:rFonts w:asciiTheme="minorHAnsi" w:hAnsiTheme="minorHAnsi" w:cstheme="minorHAnsi"/>
        </w:rPr>
        <w:tab/>
      </w:r>
      <w:r w:rsidRPr="004B11FD">
        <w:rPr>
          <w:rFonts w:asciiTheme="minorHAnsi" w:hAnsiTheme="minorHAnsi" w:cstheme="minorBidi"/>
        </w:rPr>
        <w:t>jusqu’à 4.820 €/m2_SUH TVA 17% inclus</w:t>
      </w:r>
      <w:r w:rsidR="00940A4E" w:rsidRPr="004B11FD">
        <w:rPr>
          <w:rFonts w:asciiTheme="minorHAnsi" w:hAnsiTheme="minorHAnsi" w:cstheme="minorBidi"/>
        </w:rPr>
        <w:t>e</w:t>
      </w:r>
    </w:p>
    <w:p w14:paraId="38BEF7C1" w14:textId="77777777" w:rsidR="00370061" w:rsidRPr="00616C6B" w:rsidRDefault="0037006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ind w:hanging="720"/>
        <w:jc w:val="both"/>
        <w:rPr>
          <w:rFonts w:asciiTheme="minorHAnsi" w:hAnsiTheme="minorHAnsi" w:cstheme="minorBidi"/>
          <w:b/>
          <w:bCs/>
        </w:rPr>
      </w:pPr>
      <w:r w:rsidRPr="004B11FD">
        <w:rPr>
          <w:rFonts w:asciiTheme="minorHAnsi" w:hAnsiTheme="minorHAnsi" w:cstheme="minorBidi"/>
          <w:b/>
          <w:bCs/>
        </w:rPr>
        <w:t>MME pour un immeuble collectif :</w:t>
      </w:r>
    </w:p>
    <w:p w14:paraId="11336D8D" w14:textId="48FEB15C" w:rsidR="00370061" w:rsidRPr="00616C6B" w:rsidRDefault="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7C6CCA">
        <w:rPr>
          <w:rFonts w:asciiTheme="minorHAnsi" w:hAnsiTheme="minorHAnsi" w:cstheme="minorHAnsi"/>
        </w:rPr>
        <w:tab/>
      </w:r>
      <w:r w:rsidRPr="004B11FD">
        <w:rPr>
          <w:rFonts w:asciiTheme="minorHAnsi" w:hAnsiTheme="minorHAnsi" w:cstheme="minorBidi"/>
        </w:rPr>
        <w:t xml:space="preserve">Part foncier : </w:t>
      </w:r>
      <w:r w:rsidRPr="007C6CCA">
        <w:rPr>
          <w:rFonts w:asciiTheme="minorHAnsi" w:hAnsiTheme="minorHAnsi" w:cstheme="minorHAnsi"/>
        </w:rPr>
        <w:tab/>
      </w:r>
      <w:r w:rsidRPr="007C6CCA">
        <w:rPr>
          <w:rFonts w:asciiTheme="minorHAnsi" w:hAnsiTheme="minorHAnsi" w:cstheme="minorHAnsi"/>
        </w:rPr>
        <w:tab/>
      </w:r>
      <w:r w:rsidRPr="004B11FD">
        <w:rPr>
          <w:rFonts w:asciiTheme="minorHAnsi" w:hAnsiTheme="minorHAnsi" w:cstheme="minorBidi"/>
        </w:rPr>
        <w:t xml:space="preserve">jusqu’à 1.430 €/m2_SUH pour le terrain </w:t>
      </w:r>
      <w:r w:rsidR="00940A4E" w:rsidRPr="004B11FD">
        <w:rPr>
          <w:rFonts w:asciiTheme="minorHAnsi" w:hAnsiTheme="minorHAnsi" w:cstheme="minorBidi"/>
        </w:rPr>
        <w:t>net</w:t>
      </w:r>
    </w:p>
    <w:p w14:paraId="7CFE63CE" w14:textId="368E2168" w:rsidR="00370061" w:rsidRPr="00616C6B" w:rsidRDefault="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7C6CCA">
        <w:rPr>
          <w:rFonts w:asciiTheme="minorHAnsi" w:hAnsiTheme="minorHAnsi" w:cstheme="minorHAnsi"/>
        </w:rPr>
        <w:tab/>
      </w:r>
      <w:r w:rsidRPr="004B11FD">
        <w:rPr>
          <w:rFonts w:asciiTheme="minorHAnsi" w:hAnsiTheme="minorHAnsi" w:cstheme="minorBidi"/>
        </w:rPr>
        <w:t xml:space="preserve">Part construction : </w:t>
      </w:r>
      <w:r w:rsidRPr="007C6CCA">
        <w:rPr>
          <w:rFonts w:asciiTheme="minorHAnsi" w:hAnsiTheme="minorHAnsi" w:cstheme="minorHAnsi"/>
        </w:rPr>
        <w:tab/>
      </w:r>
      <w:r w:rsidRPr="004B11FD">
        <w:rPr>
          <w:rFonts w:asciiTheme="minorHAnsi" w:hAnsiTheme="minorHAnsi" w:cstheme="minorBidi"/>
        </w:rPr>
        <w:t>jusqu’à 5.370 €/m2_SUH TVA 17% inclus</w:t>
      </w:r>
      <w:r w:rsidR="00940A4E" w:rsidRPr="004B11FD">
        <w:rPr>
          <w:rFonts w:asciiTheme="minorHAnsi" w:hAnsiTheme="minorHAnsi" w:cstheme="minorBidi"/>
        </w:rPr>
        <w:t>e</w:t>
      </w:r>
    </w:p>
    <w:p w14:paraId="4647CEC5" w14:textId="77777777" w:rsidR="00370061" w:rsidRPr="00616C6B" w:rsidRDefault="0037006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ind w:hanging="720"/>
        <w:jc w:val="both"/>
        <w:rPr>
          <w:rFonts w:asciiTheme="minorHAnsi" w:hAnsiTheme="minorHAnsi" w:cstheme="minorBidi"/>
          <w:b/>
          <w:bCs/>
        </w:rPr>
      </w:pPr>
      <w:r w:rsidRPr="004B11FD">
        <w:rPr>
          <w:rFonts w:asciiTheme="minorHAnsi" w:hAnsiTheme="minorHAnsi" w:cstheme="minorBidi"/>
          <w:b/>
          <w:bCs/>
        </w:rPr>
        <w:t>MME pour un appartement isolé dans un immeuble collectif :</w:t>
      </w:r>
    </w:p>
    <w:p w14:paraId="4BD43C00" w14:textId="0C279253" w:rsidR="00370061" w:rsidRPr="00616C6B" w:rsidRDefault="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sidRPr="007C6CCA">
        <w:rPr>
          <w:rFonts w:asciiTheme="minorHAnsi" w:hAnsiTheme="minorHAnsi" w:cstheme="minorHAnsi"/>
        </w:rPr>
        <w:tab/>
      </w:r>
      <w:r w:rsidRPr="004B11FD">
        <w:rPr>
          <w:rFonts w:asciiTheme="minorHAnsi" w:hAnsiTheme="minorHAnsi" w:cstheme="minorBidi"/>
        </w:rPr>
        <w:t xml:space="preserve">Part foncier et construction : </w:t>
      </w:r>
      <w:r w:rsidRPr="007C6CCA">
        <w:rPr>
          <w:rFonts w:asciiTheme="minorHAnsi" w:hAnsiTheme="minorHAnsi" w:cstheme="minorHAnsi"/>
        </w:rPr>
        <w:tab/>
      </w:r>
      <w:r w:rsidRPr="007C6CCA">
        <w:rPr>
          <w:rFonts w:asciiTheme="minorHAnsi" w:hAnsiTheme="minorHAnsi" w:cstheme="minorHAnsi"/>
        </w:rPr>
        <w:tab/>
      </w:r>
      <w:r w:rsidRPr="004B11FD">
        <w:rPr>
          <w:rFonts w:asciiTheme="minorHAnsi" w:hAnsiTheme="minorHAnsi" w:cstheme="minorBidi"/>
        </w:rPr>
        <w:t>jusqu’à 6.800 €/m2_SUH</w:t>
      </w:r>
      <w:r w:rsidR="00940A4E" w:rsidRPr="004B11FD">
        <w:rPr>
          <w:rFonts w:asciiTheme="minorHAnsi" w:hAnsiTheme="minorHAnsi" w:cstheme="minorBidi"/>
        </w:rPr>
        <w:t xml:space="preserve"> TTC</w:t>
      </w:r>
    </w:p>
    <w:p w14:paraId="7786C6E8" w14:textId="08899F61" w:rsidR="006C6AF5" w:rsidRDefault="006C6AF5" w:rsidP="00370061">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HAnsi"/>
        </w:rPr>
      </w:pPr>
    </w:p>
    <w:p w14:paraId="22B411B3" w14:textId="368061DD" w:rsidR="006C6AF5" w:rsidRPr="00616C6B" w:rsidRDefault="006C6AF5">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Bidi"/>
        </w:rPr>
      </w:pPr>
      <w:r>
        <w:rPr>
          <w:rStyle w:val="FootnoteReference"/>
        </w:rPr>
        <w:footnoteRef/>
      </w:r>
      <w:r>
        <w:t xml:space="preserve"> </w:t>
      </w:r>
      <w:r>
        <w:rPr>
          <w:lang w:val="en-US"/>
        </w:rPr>
        <w:t>Indice 845</w:t>
      </w:r>
      <w:proofErr w:type="gramStart"/>
      <w:r>
        <w:rPr>
          <w:lang w:val="en-US"/>
        </w:rPr>
        <w:t>,51</w:t>
      </w:r>
      <w:proofErr w:type="gramEnd"/>
    </w:p>
    <w:p w14:paraId="564A9FBA" w14:textId="77777777" w:rsidR="00370061" w:rsidRPr="005F7E40" w:rsidRDefault="00370061" w:rsidP="005F7E40">
      <w:pPr>
        <w:pStyle w:val="BodyText"/>
        <w:spacing w:line="249" w:lineRule="auto"/>
        <w:ind w:right="143"/>
        <w:jc w:val="both"/>
        <w:rPr>
          <w:rFonts w:asciiTheme="minorHAnsi" w:hAnsiTheme="minorHAnsi" w:cstheme="minorHAnsi"/>
          <w:sz w:val="22"/>
          <w:szCs w:val="22"/>
        </w:rPr>
      </w:pPr>
    </w:p>
    <w:sectPr w:rsidR="00370061" w:rsidRPr="005F7E40" w:rsidSect="004B11FD">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DB63" w16cex:dateUtc="2022-08-22T08:39:00Z"/>
  <w16cex:commentExtensible w16cex:durableId="26ADDBDD" w16cex:dateUtc="2022-08-22T08:41:00Z"/>
  <w16cex:commentExtensible w16cex:durableId="26ADDC1E" w16cex:dateUtc="2022-08-22T08:42:00Z"/>
  <w16cex:commentExtensible w16cex:durableId="26ADDCAB" w16cex:dateUtc="2022-08-22T08:44:00Z"/>
  <w16cex:commentExtensible w16cex:durableId="26ADDD69" w16cex:dateUtc="2022-08-22T08:48:00Z"/>
  <w16cex:commentExtensible w16cex:durableId="26ADDE9D" w16cex:dateUtc="2022-08-22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9D155" w16cid:durableId="26ADDAED"/>
  <w16cid:commentId w16cid:paraId="5AFD1A1E" w16cid:durableId="26ADDB63"/>
  <w16cid:commentId w16cid:paraId="70412698" w16cid:durableId="26ADDAEE"/>
  <w16cid:commentId w16cid:paraId="76DDD615" w16cid:durableId="26ADDAEF"/>
  <w16cid:commentId w16cid:paraId="1C9C357A" w16cid:durableId="26ADDBDD"/>
  <w16cid:commentId w16cid:paraId="704ABFD3" w16cid:durableId="26ADDC1E"/>
  <w16cid:commentId w16cid:paraId="5F63F942" w16cid:durableId="26ADDAF0"/>
  <w16cid:commentId w16cid:paraId="59C6603A" w16cid:durableId="26ADDCAB"/>
  <w16cid:commentId w16cid:paraId="48D71C51" w16cid:durableId="26ADDD69"/>
  <w16cid:commentId w16cid:paraId="3A364C3C" w16cid:durableId="26ADDAF1"/>
  <w16cid:commentId w16cid:paraId="7FE64E19" w16cid:durableId="26ADDAF2"/>
  <w16cid:commentId w16cid:paraId="12F2966B" w16cid:durableId="26ADDAF3"/>
  <w16cid:commentId w16cid:paraId="079A971C" w16cid:durableId="26ADDAF4"/>
  <w16cid:commentId w16cid:paraId="3EE2A677" w16cid:durableId="26ADDE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9C4F" w14:textId="77777777" w:rsidR="00200D89" w:rsidRDefault="00200D89" w:rsidP="005F7E40">
      <w:r>
        <w:separator/>
      </w:r>
    </w:p>
  </w:endnote>
  <w:endnote w:type="continuationSeparator" w:id="0">
    <w:p w14:paraId="081F1D95" w14:textId="77777777" w:rsidR="00200D89" w:rsidRDefault="00200D89" w:rsidP="005F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rdAlternate">
    <w:altName w:val="Times New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A023" w14:textId="77777777" w:rsidR="00200D89" w:rsidRDefault="00200D89" w:rsidP="005F7E40">
      <w:r>
        <w:separator/>
      </w:r>
    </w:p>
  </w:footnote>
  <w:footnote w:type="continuationSeparator" w:id="0">
    <w:p w14:paraId="0BF40EDC" w14:textId="77777777" w:rsidR="00200D89" w:rsidRDefault="00200D89" w:rsidP="005F7E40">
      <w:r>
        <w:continuationSeparator/>
      </w:r>
    </w:p>
  </w:footnote>
  <w:footnote w:id="1">
    <w:p w14:paraId="2627C818" w14:textId="77777777" w:rsidR="00B06880" w:rsidRPr="00E64561" w:rsidRDefault="00B06880" w:rsidP="00B06880">
      <w:pPr>
        <w:pStyle w:val="FootnoteText"/>
      </w:pPr>
      <w:r w:rsidRPr="00C0552F">
        <w:rPr>
          <w:rStyle w:val="FootnoteReference"/>
        </w:rPr>
        <w:footnoteRef/>
      </w:r>
      <w:r w:rsidRPr="00C0552F">
        <w:t xml:space="preserve"> Le taux appliqué est généralement entre 0,5% et 1,5%.</w:t>
      </w:r>
    </w:p>
  </w:footnote>
  <w:footnote w:id="2">
    <w:p w14:paraId="0E48DD4F" w14:textId="77777777" w:rsidR="00B06880" w:rsidRPr="00E64561" w:rsidRDefault="00B06880" w:rsidP="00B06880">
      <w:pPr>
        <w:pStyle w:val="FootnoteText"/>
      </w:pPr>
      <w:r w:rsidRPr="00E64561">
        <w:rPr>
          <w:rStyle w:val="FootnoteReference"/>
        </w:rPr>
        <w:footnoteRef/>
      </w:r>
      <w:r w:rsidRPr="00E64561">
        <w:t xml:space="preserve"> Un immeuble par destination est un bien meuble rattaché à l'immeuble de manière fixe et dont la séparation de l'immeuble nécessite un descellement, un démontage, une dénaturation des lieux.</w:t>
      </w:r>
      <w:r>
        <w:t xml:space="preserve"> Il s’agit notamment des cuisines équipées.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4CB"/>
    <w:multiLevelType w:val="hybridMultilevel"/>
    <w:tmpl w:val="C0E0F7B8"/>
    <w:lvl w:ilvl="0" w:tplc="100C0001">
      <w:start w:val="1"/>
      <w:numFmt w:val="bullet"/>
      <w:lvlText w:val=""/>
      <w:lvlJc w:val="left"/>
      <w:pPr>
        <w:ind w:left="720" w:hanging="360"/>
      </w:pPr>
      <w:rPr>
        <w:rFonts w:ascii="Symbol" w:hAnsi="Symbol" w:hint="default"/>
      </w:rPr>
    </w:lvl>
    <w:lvl w:ilvl="1" w:tplc="E51290CA">
      <w:numFmt w:val="bullet"/>
      <w:lvlText w:val="•"/>
      <w:lvlJc w:val="left"/>
      <w:pPr>
        <w:ind w:left="1800" w:hanging="720"/>
      </w:pPr>
      <w:rPr>
        <w:rFonts w:ascii="Arial" w:eastAsiaTheme="minorEastAsia" w:hAnsi="Arial"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35818EC"/>
    <w:multiLevelType w:val="hybridMultilevel"/>
    <w:tmpl w:val="285A5590"/>
    <w:lvl w:ilvl="0" w:tplc="1EE24564">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91CE6"/>
    <w:multiLevelType w:val="hybridMultilevel"/>
    <w:tmpl w:val="380C8BA4"/>
    <w:lvl w:ilvl="0" w:tplc="4A307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D6E50"/>
    <w:multiLevelType w:val="hybridMultilevel"/>
    <w:tmpl w:val="7C3229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48467144"/>
    <w:multiLevelType w:val="hybridMultilevel"/>
    <w:tmpl w:val="8C342976"/>
    <w:lvl w:ilvl="0" w:tplc="1EE24564">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D6D46"/>
    <w:multiLevelType w:val="hybridMultilevel"/>
    <w:tmpl w:val="1668E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3040F"/>
    <w:multiLevelType w:val="hybridMultilevel"/>
    <w:tmpl w:val="B9E8852C"/>
    <w:lvl w:ilvl="0" w:tplc="4F0E3274">
      <w:start w:val="1"/>
      <w:numFmt w:val="bullet"/>
      <w:lvlText w:val=""/>
      <w:lvlJc w:val="left"/>
      <w:pPr>
        <w:tabs>
          <w:tab w:val="num" w:pos="720"/>
        </w:tabs>
        <w:ind w:left="720" w:hanging="360"/>
      </w:pPr>
      <w:rPr>
        <w:rFonts w:ascii="Wingdings" w:hAnsi="Wingdings" w:hint="default"/>
      </w:rPr>
    </w:lvl>
    <w:lvl w:ilvl="1" w:tplc="FEE890DC">
      <w:start w:val="110"/>
      <w:numFmt w:val="bullet"/>
      <w:lvlText w:val="•"/>
      <w:lvlJc w:val="left"/>
      <w:pPr>
        <w:tabs>
          <w:tab w:val="num" w:pos="1440"/>
        </w:tabs>
        <w:ind w:left="1440" w:hanging="360"/>
      </w:pPr>
      <w:rPr>
        <w:rFonts w:ascii="Arial" w:hAnsi="Arial" w:hint="default"/>
      </w:rPr>
    </w:lvl>
    <w:lvl w:ilvl="2" w:tplc="D0665E58" w:tentative="1">
      <w:start w:val="1"/>
      <w:numFmt w:val="bullet"/>
      <w:lvlText w:val=""/>
      <w:lvlJc w:val="left"/>
      <w:pPr>
        <w:tabs>
          <w:tab w:val="num" w:pos="2160"/>
        </w:tabs>
        <w:ind w:left="2160" w:hanging="360"/>
      </w:pPr>
      <w:rPr>
        <w:rFonts w:ascii="Wingdings" w:hAnsi="Wingdings" w:hint="default"/>
      </w:rPr>
    </w:lvl>
    <w:lvl w:ilvl="3" w:tplc="E71CD99E" w:tentative="1">
      <w:start w:val="1"/>
      <w:numFmt w:val="bullet"/>
      <w:lvlText w:val=""/>
      <w:lvlJc w:val="left"/>
      <w:pPr>
        <w:tabs>
          <w:tab w:val="num" w:pos="2880"/>
        </w:tabs>
        <w:ind w:left="2880" w:hanging="360"/>
      </w:pPr>
      <w:rPr>
        <w:rFonts w:ascii="Wingdings" w:hAnsi="Wingdings" w:hint="default"/>
      </w:rPr>
    </w:lvl>
    <w:lvl w:ilvl="4" w:tplc="30BCEACE" w:tentative="1">
      <w:start w:val="1"/>
      <w:numFmt w:val="bullet"/>
      <w:lvlText w:val=""/>
      <w:lvlJc w:val="left"/>
      <w:pPr>
        <w:tabs>
          <w:tab w:val="num" w:pos="3600"/>
        </w:tabs>
        <w:ind w:left="3600" w:hanging="360"/>
      </w:pPr>
      <w:rPr>
        <w:rFonts w:ascii="Wingdings" w:hAnsi="Wingdings" w:hint="default"/>
      </w:rPr>
    </w:lvl>
    <w:lvl w:ilvl="5" w:tplc="89B68F96" w:tentative="1">
      <w:start w:val="1"/>
      <w:numFmt w:val="bullet"/>
      <w:lvlText w:val=""/>
      <w:lvlJc w:val="left"/>
      <w:pPr>
        <w:tabs>
          <w:tab w:val="num" w:pos="4320"/>
        </w:tabs>
        <w:ind w:left="4320" w:hanging="360"/>
      </w:pPr>
      <w:rPr>
        <w:rFonts w:ascii="Wingdings" w:hAnsi="Wingdings" w:hint="default"/>
      </w:rPr>
    </w:lvl>
    <w:lvl w:ilvl="6" w:tplc="E6F84582" w:tentative="1">
      <w:start w:val="1"/>
      <w:numFmt w:val="bullet"/>
      <w:lvlText w:val=""/>
      <w:lvlJc w:val="left"/>
      <w:pPr>
        <w:tabs>
          <w:tab w:val="num" w:pos="5040"/>
        </w:tabs>
        <w:ind w:left="5040" w:hanging="360"/>
      </w:pPr>
      <w:rPr>
        <w:rFonts w:ascii="Wingdings" w:hAnsi="Wingdings" w:hint="default"/>
      </w:rPr>
    </w:lvl>
    <w:lvl w:ilvl="7" w:tplc="FEEEAED2" w:tentative="1">
      <w:start w:val="1"/>
      <w:numFmt w:val="bullet"/>
      <w:lvlText w:val=""/>
      <w:lvlJc w:val="left"/>
      <w:pPr>
        <w:tabs>
          <w:tab w:val="num" w:pos="5760"/>
        </w:tabs>
        <w:ind w:left="5760" w:hanging="360"/>
      </w:pPr>
      <w:rPr>
        <w:rFonts w:ascii="Wingdings" w:hAnsi="Wingdings" w:hint="default"/>
      </w:rPr>
    </w:lvl>
    <w:lvl w:ilvl="8" w:tplc="1E1449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BC0C5C"/>
    <w:multiLevelType w:val="hybridMultilevel"/>
    <w:tmpl w:val="41AE0F16"/>
    <w:lvl w:ilvl="0" w:tplc="4A1ECB0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075A7"/>
    <w:multiLevelType w:val="hybridMultilevel"/>
    <w:tmpl w:val="94DC5878"/>
    <w:lvl w:ilvl="0" w:tplc="FBC677D4">
      <w:start w:val="10"/>
      <w:numFmt w:val="bullet"/>
      <w:lvlText w:val="-"/>
      <w:lvlJc w:val="left"/>
      <w:pPr>
        <w:ind w:left="720" w:hanging="360"/>
      </w:pPr>
      <w:rPr>
        <w:rFonts w:ascii="AccordAlternate" w:eastAsia="Calibri" w:hAnsi="AccordAlternate"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936BF"/>
    <w:multiLevelType w:val="hybridMultilevel"/>
    <w:tmpl w:val="F3A6BD76"/>
    <w:lvl w:ilvl="0" w:tplc="91167110">
      <w:numFmt w:val="bullet"/>
      <w:lvlText w:val="-"/>
      <w:lvlJc w:val="left"/>
      <w:pPr>
        <w:ind w:left="1500" w:hanging="360"/>
      </w:pPr>
      <w:rPr>
        <w:rFonts w:ascii="Calibri" w:eastAsia="Calibri" w:hAnsi="Calibri" w:cs="Calibri" w:hint="default"/>
      </w:rPr>
    </w:lvl>
    <w:lvl w:ilvl="1" w:tplc="046E0003" w:tentative="1">
      <w:start w:val="1"/>
      <w:numFmt w:val="bullet"/>
      <w:lvlText w:val="o"/>
      <w:lvlJc w:val="left"/>
      <w:pPr>
        <w:ind w:left="2220" w:hanging="360"/>
      </w:pPr>
      <w:rPr>
        <w:rFonts w:ascii="Courier New" w:hAnsi="Courier New" w:cs="Courier New" w:hint="default"/>
      </w:rPr>
    </w:lvl>
    <w:lvl w:ilvl="2" w:tplc="046E0005" w:tentative="1">
      <w:start w:val="1"/>
      <w:numFmt w:val="bullet"/>
      <w:lvlText w:val=""/>
      <w:lvlJc w:val="left"/>
      <w:pPr>
        <w:ind w:left="2940" w:hanging="360"/>
      </w:pPr>
      <w:rPr>
        <w:rFonts w:ascii="Wingdings" w:hAnsi="Wingdings" w:hint="default"/>
      </w:rPr>
    </w:lvl>
    <w:lvl w:ilvl="3" w:tplc="046E0001" w:tentative="1">
      <w:start w:val="1"/>
      <w:numFmt w:val="bullet"/>
      <w:lvlText w:val=""/>
      <w:lvlJc w:val="left"/>
      <w:pPr>
        <w:ind w:left="3660" w:hanging="360"/>
      </w:pPr>
      <w:rPr>
        <w:rFonts w:ascii="Symbol" w:hAnsi="Symbol" w:hint="default"/>
      </w:rPr>
    </w:lvl>
    <w:lvl w:ilvl="4" w:tplc="046E0003" w:tentative="1">
      <w:start w:val="1"/>
      <w:numFmt w:val="bullet"/>
      <w:lvlText w:val="o"/>
      <w:lvlJc w:val="left"/>
      <w:pPr>
        <w:ind w:left="4380" w:hanging="360"/>
      </w:pPr>
      <w:rPr>
        <w:rFonts w:ascii="Courier New" w:hAnsi="Courier New" w:cs="Courier New" w:hint="default"/>
      </w:rPr>
    </w:lvl>
    <w:lvl w:ilvl="5" w:tplc="046E0005" w:tentative="1">
      <w:start w:val="1"/>
      <w:numFmt w:val="bullet"/>
      <w:lvlText w:val=""/>
      <w:lvlJc w:val="left"/>
      <w:pPr>
        <w:ind w:left="5100" w:hanging="360"/>
      </w:pPr>
      <w:rPr>
        <w:rFonts w:ascii="Wingdings" w:hAnsi="Wingdings" w:hint="default"/>
      </w:rPr>
    </w:lvl>
    <w:lvl w:ilvl="6" w:tplc="046E0001" w:tentative="1">
      <w:start w:val="1"/>
      <w:numFmt w:val="bullet"/>
      <w:lvlText w:val=""/>
      <w:lvlJc w:val="left"/>
      <w:pPr>
        <w:ind w:left="5820" w:hanging="360"/>
      </w:pPr>
      <w:rPr>
        <w:rFonts w:ascii="Symbol" w:hAnsi="Symbol" w:hint="default"/>
      </w:rPr>
    </w:lvl>
    <w:lvl w:ilvl="7" w:tplc="046E0003" w:tentative="1">
      <w:start w:val="1"/>
      <w:numFmt w:val="bullet"/>
      <w:lvlText w:val="o"/>
      <w:lvlJc w:val="left"/>
      <w:pPr>
        <w:ind w:left="6540" w:hanging="360"/>
      </w:pPr>
      <w:rPr>
        <w:rFonts w:ascii="Courier New" w:hAnsi="Courier New" w:cs="Courier New" w:hint="default"/>
      </w:rPr>
    </w:lvl>
    <w:lvl w:ilvl="8" w:tplc="046E0005" w:tentative="1">
      <w:start w:val="1"/>
      <w:numFmt w:val="bullet"/>
      <w:lvlText w:val=""/>
      <w:lvlJc w:val="left"/>
      <w:pPr>
        <w:ind w:left="726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1"/>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02"/>
    <w:rsid w:val="00035E52"/>
    <w:rsid w:val="00067436"/>
    <w:rsid w:val="000776C5"/>
    <w:rsid w:val="000B6828"/>
    <w:rsid w:val="000C0159"/>
    <w:rsid w:val="000E1385"/>
    <w:rsid w:val="001141EC"/>
    <w:rsid w:val="00121E87"/>
    <w:rsid w:val="00137ED0"/>
    <w:rsid w:val="001410DC"/>
    <w:rsid w:val="00161A7D"/>
    <w:rsid w:val="00170A15"/>
    <w:rsid w:val="001B7815"/>
    <w:rsid w:val="001E6D82"/>
    <w:rsid w:val="00200D89"/>
    <w:rsid w:val="00261F24"/>
    <w:rsid w:val="002733E8"/>
    <w:rsid w:val="002A2DA1"/>
    <w:rsid w:val="002B713E"/>
    <w:rsid w:val="002D39FF"/>
    <w:rsid w:val="00304B68"/>
    <w:rsid w:val="00335DAC"/>
    <w:rsid w:val="0035320A"/>
    <w:rsid w:val="00370061"/>
    <w:rsid w:val="00397BFB"/>
    <w:rsid w:val="003C4734"/>
    <w:rsid w:val="003D22DF"/>
    <w:rsid w:val="003F4E5C"/>
    <w:rsid w:val="0046071D"/>
    <w:rsid w:val="004B11FD"/>
    <w:rsid w:val="004B6D6A"/>
    <w:rsid w:val="004F1E2F"/>
    <w:rsid w:val="004F4D98"/>
    <w:rsid w:val="0050133B"/>
    <w:rsid w:val="0052207E"/>
    <w:rsid w:val="00541554"/>
    <w:rsid w:val="00541CDE"/>
    <w:rsid w:val="00547239"/>
    <w:rsid w:val="00555C0E"/>
    <w:rsid w:val="00556954"/>
    <w:rsid w:val="005702A4"/>
    <w:rsid w:val="00576299"/>
    <w:rsid w:val="00580656"/>
    <w:rsid w:val="00587730"/>
    <w:rsid w:val="0059206A"/>
    <w:rsid w:val="005F7E40"/>
    <w:rsid w:val="006054DB"/>
    <w:rsid w:val="00616C6B"/>
    <w:rsid w:val="00632DFF"/>
    <w:rsid w:val="00671977"/>
    <w:rsid w:val="00672505"/>
    <w:rsid w:val="006820F8"/>
    <w:rsid w:val="006A0E83"/>
    <w:rsid w:val="006A392B"/>
    <w:rsid w:val="006B1157"/>
    <w:rsid w:val="006C6AF5"/>
    <w:rsid w:val="006D3F3A"/>
    <w:rsid w:val="006F2E94"/>
    <w:rsid w:val="00727B89"/>
    <w:rsid w:val="0075185C"/>
    <w:rsid w:val="00767140"/>
    <w:rsid w:val="007747A1"/>
    <w:rsid w:val="007A67A8"/>
    <w:rsid w:val="007B20F1"/>
    <w:rsid w:val="007B6679"/>
    <w:rsid w:val="007C6CCA"/>
    <w:rsid w:val="008549D9"/>
    <w:rsid w:val="008B6187"/>
    <w:rsid w:val="008E2852"/>
    <w:rsid w:val="008E7BCF"/>
    <w:rsid w:val="008F4DA0"/>
    <w:rsid w:val="0090435F"/>
    <w:rsid w:val="00940A4E"/>
    <w:rsid w:val="00957786"/>
    <w:rsid w:val="009637E4"/>
    <w:rsid w:val="009847ED"/>
    <w:rsid w:val="009917CF"/>
    <w:rsid w:val="009976C4"/>
    <w:rsid w:val="00997B86"/>
    <w:rsid w:val="009A7413"/>
    <w:rsid w:val="009B1983"/>
    <w:rsid w:val="009E001E"/>
    <w:rsid w:val="009E1D73"/>
    <w:rsid w:val="009E7064"/>
    <w:rsid w:val="00A07AD7"/>
    <w:rsid w:val="00A10F66"/>
    <w:rsid w:val="00AF479A"/>
    <w:rsid w:val="00B06880"/>
    <w:rsid w:val="00B10332"/>
    <w:rsid w:val="00B35BA1"/>
    <w:rsid w:val="00B575EB"/>
    <w:rsid w:val="00B6690E"/>
    <w:rsid w:val="00B741E8"/>
    <w:rsid w:val="00BA0FF9"/>
    <w:rsid w:val="00BB15C2"/>
    <w:rsid w:val="00BD0FA7"/>
    <w:rsid w:val="00BE6E36"/>
    <w:rsid w:val="00BF158F"/>
    <w:rsid w:val="00BF6DDC"/>
    <w:rsid w:val="00C0332C"/>
    <w:rsid w:val="00C42E02"/>
    <w:rsid w:val="00CA2ABB"/>
    <w:rsid w:val="00CC3ADC"/>
    <w:rsid w:val="00CD4ABE"/>
    <w:rsid w:val="00CD53EE"/>
    <w:rsid w:val="00CF0EB9"/>
    <w:rsid w:val="00D17574"/>
    <w:rsid w:val="00D21FED"/>
    <w:rsid w:val="00D37003"/>
    <w:rsid w:val="00D474E6"/>
    <w:rsid w:val="00D50596"/>
    <w:rsid w:val="00D54AE4"/>
    <w:rsid w:val="00D90952"/>
    <w:rsid w:val="00DB2484"/>
    <w:rsid w:val="00DB5764"/>
    <w:rsid w:val="00DC36B7"/>
    <w:rsid w:val="00DE1CAA"/>
    <w:rsid w:val="00E24A16"/>
    <w:rsid w:val="00E350A1"/>
    <w:rsid w:val="00E55A3B"/>
    <w:rsid w:val="00E6239A"/>
    <w:rsid w:val="00E707BD"/>
    <w:rsid w:val="00E7307C"/>
    <w:rsid w:val="00E82D32"/>
    <w:rsid w:val="00EA38CB"/>
    <w:rsid w:val="00EA6B4D"/>
    <w:rsid w:val="00EC172E"/>
    <w:rsid w:val="00EF309E"/>
    <w:rsid w:val="00EF4F4C"/>
    <w:rsid w:val="00F03C7E"/>
    <w:rsid w:val="00F12AA5"/>
    <w:rsid w:val="00F4258D"/>
    <w:rsid w:val="00F87279"/>
    <w:rsid w:val="00F97C46"/>
    <w:rsid w:val="00FF2837"/>
    <w:rsid w:val="00FF5A29"/>
    <w:rsid w:val="05BC8B64"/>
    <w:rsid w:val="05C83897"/>
    <w:rsid w:val="4477C3B9"/>
    <w:rsid w:val="59E0C948"/>
    <w:rsid w:val="60E9D312"/>
    <w:rsid w:val="64972407"/>
    <w:rsid w:val="64F0E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EAA4"/>
  <w15:chartTrackingRefBased/>
  <w15:docId w15:val="{BA98A654-228B-436F-8DD6-96DCD06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02"/>
    <w:pPr>
      <w:widowControl w:val="0"/>
      <w:autoSpaceDE w:val="0"/>
      <w:autoSpaceDN w:val="0"/>
      <w:spacing w:after="0" w:line="240" w:lineRule="auto"/>
    </w:pPr>
    <w:rPr>
      <w:rFonts w:ascii="Calibri" w:eastAsia="Calibri" w:hAnsi="Calibri" w:cs="Calibri"/>
      <w:lang w:val="fr-FR"/>
    </w:rPr>
  </w:style>
  <w:style w:type="paragraph" w:styleId="Heading1">
    <w:name w:val="heading 1"/>
    <w:basedOn w:val="Normal"/>
    <w:link w:val="Heading1Char"/>
    <w:uiPriority w:val="9"/>
    <w:qFormat/>
    <w:rsid w:val="00C42E02"/>
    <w:pPr>
      <w:ind w:left="1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E02"/>
    <w:rPr>
      <w:rFonts w:ascii="Calibri" w:eastAsia="Calibri" w:hAnsi="Calibri" w:cs="Calibri"/>
      <w:b/>
      <w:bCs/>
      <w:sz w:val="20"/>
      <w:szCs w:val="20"/>
      <w:lang w:val="fr-FR"/>
    </w:rPr>
  </w:style>
  <w:style w:type="paragraph" w:styleId="BodyText">
    <w:name w:val="Body Text"/>
    <w:basedOn w:val="Normal"/>
    <w:link w:val="BodyTextChar"/>
    <w:uiPriority w:val="1"/>
    <w:qFormat/>
    <w:rsid w:val="00C42E02"/>
    <w:rPr>
      <w:sz w:val="20"/>
      <w:szCs w:val="20"/>
    </w:rPr>
  </w:style>
  <w:style w:type="character" w:customStyle="1" w:styleId="BodyTextChar">
    <w:name w:val="Body Text Char"/>
    <w:basedOn w:val="DefaultParagraphFont"/>
    <w:link w:val="BodyText"/>
    <w:uiPriority w:val="1"/>
    <w:rsid w:val="00C42E02"/>
    <w:rPr>
      <w:rFonts w:ascii="Calibri" w:eastAsia="Calibri" w:hAnsi="Calibri" w:cs="Calibri"/>
      <w:sz w:val="20"/>
      <w:szCs w:val="20"/>
      <w:lang w:val="fr-FR"/>
    </w:rPr>
  </w:style>
  <w:style w:type="character" w:styleId="CommentReference">
    <w:name w:val="annotation reference"/>
    <w:basedOn w:val="DefaultParagraphFont"/>
    <w:uiPriority w:val="99"/>
    <w:semiHidden/>
    <w:unhideWhenUsed/>
    <w:rsid w:val="00C42E02"/>
    <w:rPr>
      <w:sz w:val="16"/>
      <w:szCs w:val="16"/>
    </w:rPr>
  </w:style>
  <w:style w:type="paragraph" w:styleId="CommentText">
    <w:name w:val="annotation text"/>
    <w:basedOn w:val="Normal"/>
    <w:link w:val="CommentTextChar"/>
    <w:uiPriority w:val="99"/>
    <w:unhideWhenUsed/>
    <w:rsid w:val="00C42E02"/>
    <w:rPr>
      <w:sz w:val="20"/>
      <w:szCs w:val="20"/>
    </w:rPr>
  </w:style>
  <w:style w:type="character" w:customStyle="1" w:styleId="CommentTextChar">
    <w:name w:val="Comment Text Char"/>
    <w:basedOn w:val="DefaultParagraphFont"/>
    <w:link w:val="CommentText"/>
    <w:uiPriority w:val="99"/>
    <w:rsid w:val="00C42E02"/>
    <w:rPr>
      <w:rFonts w:ascii="Calibri" w:eastAsia="Calibri" w:hAnsi="Calibri" w:cs="Calibri"/>
      <w:sz w:val="20"/>
      <w:szCs w:val="20"/>
      <w:lang w:val="fr-FR"/>
    </w:rPr>
  </w:style>
  <w:style w:type="paragraph" w:styleId="BalloonText">
    <w:name w:val="Balloon Text"/>
    <w:basedOn w:val="Normal"/>
    <w:link w:val="BalloonTextChar"/>
    <w:uiPriority w:val="99"/>
    <w:semiHidden/>
    <w:unhideWhenUsed/>
    <w:rsid w:val="00C42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E02"/>
    <w:rPr>
      <w:rFonts w:ascii="Segoe UI" w:eastAsia="Calibri" w:hAnsi="Segoe UI" w:cs="Segoe UI"/>
      <w:sz w:val="18"/>
      <w:szCs w:val="18"/>
      <w:lang w:val="fr-FR"/>
    </w:rPr>
  </w:style>
  <w:style w:type="paragraph" w:styleId="ListParagraph">
    <w:name w:val="List Paragraph"/>
    <w:basedOn w:val="Normal"/>
    <w:uiPriority w:val="34"/>
    <w:qFormat/>
    <w:rsid w:val="00C42E02"/>
    <w:pPr>
      <w:ind w:left="720"/>
      <w:contextualSpacing/>
    </w:pPr>
  </w:style>
  <w:style w:type="character" w:styleId="Hyperlink">
    <w:name w:val="Hyperlink"/>
    <w:basedOn w:val="DefaultParagraphFont"/>
    <w:uiPriority w:val="99"/>
    <w:unhideWhenUsed/>
    <w:rsid w:val="00541C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4A16"/>
    <w:rPr>
      <w:b/>
      <w:bCs/>
    </w:rPr>
  </w:style>
  <w:style w:type="character" w:customStyle="1" w:styleId="CommentSubjectChar">
    <w:name w:val="Comment Subject Char"/>
    <w:basedOn w:val="CommentTextChar"/>
    <w:link w:val="CommentSubject"/>
    <w:uiPriority w:val="99"/>
    <w:semiHidden/>
    <w:rsid w:val="00E24A16"/>
    <w:rPr>
      <w:rFonts w:ascii="Calibri" w:eastAsia="Calibri" w:hAnsi="Calibri" w:cs="Calibri"/>
      <w:b/>
      <w:bCs/>
      <w:sz w:val="20"/>
      <w:szCs w:val="20"/>
      <w:lang w:val="fr-FR"/>
    </w:rPr>
  </w:style>
  <w:style w:type="paragraph" w:styleId="Revision">
    <w:name w:val="Revision"/>
    <w:hidden/>
    <w:uiPriority w:val="99"/>
    <w:semiHidden/>
    <w:rsid w:val="00F87279"/>
    <w:pPr>
      <w:spacing w:after="0" w:line="240" w:lineRule="auto"/>
    </w:pPr>
    <w:rPr>
      <w:rFonts w:ascii="Calibri" w:eastAsia="Calibri" w:hAnsi="Calibri" w:cs="Calibri"/>
      <w:lang w:val="fr-FR"/>
    </w:rPr>
  </w:style>
  <w:style w:type="paragraph" w:styleId="FootnoteText">
    <w:name w:val="footnote text"/>
    <w:basedOn w:val="Normal"/>
    <w:link w:val="FootnoteTextChar"/>
    <w:uiPriority w:val="99"/>
    <w:unhideWhenUsed/>
    <w:rsid w:val="005F7E40"/>
    <w:rPr>
      <w:sz w:val="20"/>
      <w:szCs w:val="20"/>
    </w:rPr>
  </w:style>
  <w:style w:type="character" w:customStyle="1" w:styleId="FootnoteTextChar">
    <w:name w:val="Footnote Text Char"/>
    <w:basedOn w:val="DefaultParagraphFont"/>
    <w:link w:val="FootnoteText"/>
    <w:uiPriority w:val="99"/>
    <w:rsid w:val="005F7E40"/>
    <w:rPr>
      <w:rFonts w:ascii="Calibri" w:eastAsia="Calibri" w:hAnsi="Calibri" w:cs="Calibri"/>
      <w:sz w:val="20"/>
      <w:szCs w:val="20"/>
      <w:lang w:val="fr-FR"/>
    </w:rPr>
  </w:style>
  <w:style w:type="character" w:styleId="FootnoteReference">
    <w:name w:val="footnote reference"/>
    <w:basedOn w:val="DefaultParagraphFont"/>
    <w:uiPriority w:val="99"/>
    <w:semiHidden/>
    <w:unhideWhenUsed/>
    <w:rsid w:val="005F7E40"/>
    <w:rPr>
      <w:vertAlign w:val="superscript"/>
    </w:rPr>
  </w:style>
  <w:style w:type="paragraph" w:styleId="Header">
    <w:name w:val="header"/>
    <w:basedOn w:val="Normal"/>
    <w:link w:val="HeaderChar"/>
    <w:uiPriority w:val="99"/>
    <w:unhideWhenUsed/>
    <w:rsid w:val="00F03C7E"/>
    <w:pPr>
      <w:tabs>
        <w:tab w:val="center" w:pos="4513"/>
        <w:tab w:val="right" w:pos="9026"/>
      </w:tabs>
    </w:pPr>
  </w:style>
  <w:style w:type="character" w:customStyle="1" w:styleId="HeaderChar">
    <w:name w:val="Header Char"/>
    <w:basedOn w:val="DefaultParagraphFont"/>
    <w:link w:val="Header"/>
    <w:uiPriority w:val="99"/>
    <w:rsid w:val="00F03C7E"/>
    <w:rPr>
      <w:rFonts w:ascii="Calibri" w:eastAsia="Calibri" w:hAnsi="Calibri" w:cs="Calibri"/>
      <w:lang w:val="fr-FR"/>
    </w:rPr>
  </w:style>
  <w:style w:type="paragraph" w:styleId="Footer">
    <w:name w:val="footer"/>
    <w:basedOn w:val="Normal"/>
    <w:link w:val="FooterChar"/>
    <w:uiPriority w:val="99"/>
    <w:unhideWhenUsed/>
    <w:rsid w:val="00F03C7E"/>
    <w:pPr>
      <w:tabs>
        <w:tab w:val="center" w:pos="4513"/>
        <w:tab w:val="right" w:pos="9026"/>
      </w:tabs>
    </w:pPr>
  </w:style>
  <w:style w:type="character" w:customStyle="1" w:styleId="FooterChar">
    <w:name w:val="Footer Char"/>
    <w:basedOn w:val="DefaultParagraphFont"/>
    <w:link w:val="Footer"/>
    <w:uiPriority w:val="99"/>
    <w:rsid w:val="00F03C7E"/>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0227">
      <w:bodyDiv w:val="1"/>
      <w:marLeft w:val="0"/>
      <w:marRight w:val="0"/>
      <w:marTop w:val="0"/>
      <w:marBottom w:val="0"/>
      <w:divBdr>
        <w:top w:val="none" w:sz="0" w:space="0" w:color="auto"/>
        <w:left w:val="none" w:sz="0" w:space="0" w:color="auto"/>
        <w:bottom w:val="none" w:sz="0" w:space="0" w:color="auto"/>
        <w:right w:val="none" w:sz="0" w:space="0" w:color="auto"/>
      </w:divBdr>
      <w:divsChild>
        <w:div w:id="643001063">
          <w:marLeft w:val="403"/>
          <w:marRight w:val="0"/>
          <w:marTop w:val="115"/>
          <w:marBottom w:val="0"/>
          <w:divBdr>
            <w:top w:val="none" w:sz="0" w:space="0" w:color="auto"/>
            <w:left w:val="none" w:sz="0" w:space="0" w:color="auto"/>
            <w:bottom w:val="none" w:sz="0" w:space="0" w:color="auto"/>
            <w:right w:val="none" w:sz="0" w:space="0" w:color="auto"/>
          </w:divBdr>
        </w:div>
        <w:div w:id="391082545">
          <w:marLeft w:val="878"/>
          <w:marRight w:val="0"/>
          <w:marTop w:val="101"/>
          <w:marBottom w:val="0"/>
          <w:divBdr>
            <w:top w:val="none" w:sz="0" w:space="0" w:color="auto"/>
            <w:left w:val="none" w:sz="0" w:space="0" w:color="auto"/>
            <w:bottom w:val="none" w:sz="0" w:space="0" w:color="auto"/>
            <w:right w:val="none" w:sz="0" w:space="0" w:color="auto"/>
          </w:divBdr>
        </w:div>
        <w:div w:id="305936869">
          <w:marLeft w:val="878"/>
          <w:marRight w:val="0"/>
          <w:marTop w:val="101"/>
          <w:marBottom w:val="0"/>
          <w:divBdr>
            <w:top w:val="none" w:sz="0" w:space="0" w:color="auto"/>
            <w:left w:val="none" w:sz="0" w:space="0" w:color="auto"/>
            <w:bottom w:val="none" w:sz="0" w:space="0" w:color="auto"/>
            <w:right w:val="none" w:sz="0" w:space="0" w:color="auto"/>
          </w:divBdr>
        </w:div>
      </w:divsChild>
    </w:div>
    <w:div w:id="363213649">
      <w:bodyDiv w:val="1"/>
      <w:marLeft w:val="0"/>
      <w:marRight w:val="0"/>
      <w:marTop w:val="0"/>
      <w:marBottom w:val="0"/>
      <w:divBdr>
        <w:top w:val="none" w:sz="0" w:space="0" w:color="auto"/>
        <w:left w:val="none" w:sz="0" w:space="0" w:color="auto"/>
        <w:bottom w:val="none" w:sz="0" w:space="0" w:color="auto"/>
        <w:right w:val="none" w:sz="0" w:space="0" w:color="auto"/>
      </w:divBdr>
    </w:div>
    <w:div w:id="637998930">
      <w:bodyDiv w:val="1"/>
      <w:marLeft w:val="0"/>
      <w:marRight w:val="0"/>
      <w:marTop w:val="0"/>
      <w:marBottom w:val="0"/>
      <w:divBdr>
        <w:top w:val="none" w:sz="0" w:space="0" w:color="auto"/>
        <w:left w:val="none" w:sz="0" w:space="0" w:color="auto"/>
        <w:bottom w:val="none" w:sz="0" w:space="0" w:color="auto"/>
        <w:right w:val="none" w:sz="0" w:space="0" w:color="auto"/>
      </w:divBdr>
    </w:div>
    <w:div w:id="18931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ement.public.lu/fr/observatoire-habitat/prix-de-vente/prix-de-vente-des-logements.html"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ement.public.lu/fr/observatoire-habitat/prix-de-vente/prix-de-vente-des-logements.html"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Michel Foehr</DisplayName>
        <AccountId>136</AccountId>
        <AccountType/>
      </UserInfo>
      <UserInfo>
        <DisplayName>Catherine Jost</DisplayName>
        <AccountId>161</AccountId>
        <AccountType/>
      </UserInfo>
      <UserInfo>
        <DisplayName>Diane Dupont</DisplayName>
        <AccountId>47</AccountId>
        <AccountType/>
      </UserInfo>
      <UserInfo>
        <DisplayName>Mike Mathias</DisplayName>
        <AccountId>137</AccountId>
        <AccountType/>
      </UserInfo>
      <UserInfo>
        <DisplayName>Carol Rodesch</DisplayName>
        <AccountId>206</AccountId>
        <AccountType/>
      </UserInfo>
      <UserInfo>
        <DisplayName>Annick Rock</DisplayName>
        <AccountId>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558E-96F0-48A2-8FD5-26890E515A92}">
  <ds:schemaRefs>
    <ds:schemaRef ds:uri="http://schemas.microsoft.com/sharepoint/v3/contenttype/forms"/>
  </ds:schemaRefs>
</ds:datastoreItem>
</file>

<file path=customXml/itemProps2.xml><?xml version="1.0" encoding="utf-8"?>
<ds:datastoreItem xmlns:ds="http://schemas.openxmlformats.org/officeDocument/2006/customXml" ds:itemID="{16FA0701-79BB-4372-B7C0-372A776F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63AC1-5087-4346-A1C3-9E80501F7282}">
  <ds:schemaRefs>
    <ds:schemaRef ds:uri="http://schemas.microsoft.com/office/2006/metadata/properties"/>
    <ds:schemaRef ds:uri="http://schemas.microsoft.com/office/infopath/2007/PartnerControls"/>
    <ds:schemaRef ds:uri="92fd9b33-8389-4ac0-927d-34fa2d19ec95"/>
  </ds:schemaRefs>
</ds:datastoreItem>
</file>

<file path=customXml/itemProps4.xml><?xml version="1.0" encoding="utf-8"?>
<ds:datastoreItem xmlns:ds="http://schemas.openxmlformats.org/officeDocument/2006/customXml" ds:itemID="{20FD2639-CA76-45F4-9DB0-7005C3FF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12586</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Jost</dc:creator>
  <cp:keywords/>
  <dc:description/>
  <cp:lastModifiedBy>Catherine Jost</cp:lastModifiedBy>
  <cp:revision>4</cp:revision>
  <dcterms:created xsi:type="dcterms:W3CDTF">2022-10-20T10:15:00Z</dcterms:created>
  <dcterms:modified xsi:type="dcterms:W3CDTF">2022-10-20T10:58:00Z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