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DE" w:rsidRPr="004F37AD" w:rsidRDefault="00425EDE" w:rsidP="00425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AD">
        <w:rPr>
          <w:rFonts w:ascii="Times New Roman" w:hAnsi="Times New Roman" w:cs="Times New Roman"/>
          <w:b/>
          <w:sz w:val="24"/>
          <w:szCs w:val="24"/>
        </w:rPr>
        <w:t xml:space="preserve">- Pièce d’appui requise pour le critère d’évaluation LENOZ </w:t>
      </w:r>
      <w:r w:rsidR="00DC4DCF">
        <w:rPr>
          <w:rFonts w:ascii="Times New Roman" w:hAnsi="Times New Roman" w:cs="Times New Roman"/>
          <w:b/>
          <w:sz w:val="24"/>
          <w:szCs w:val="24"/>
        </w:rPr>
        <w:t>4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 w:rsidR="00DC4DCF">
        <w:rPr>
          <w:rFonts w:ascii="Times New Roman" w:hAnsi="Times New Roman" w:cs="Times New Roman"/>
          <w:b/>
          <w:sz w:val="24"/>
          <w:szCs w:val="24"/>
        </w:rPr>
        <w:t>6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 w:rsidR="009D2D7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F37AD">
        <w:rPr>
          <w:rFonts w:ascii="Times New Roman" w:hAnsi="Times New Roman" w:cs="Times New Roman"/>
          <w:b/>
          <w:sz w:val="24"/>
          <w:szCs w:val="24"/>
        </w:rPr>
        <w:t>–</w:t>
      </w:r>
    </w:p>
    <w:p w:rsidR="00425EDE" w:rsidRDefault="00425EDE" w:rsidP="00425ED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25EDE" w:rsidRDefault="00425EDE" w:rsidP="005B2C42">
      <w:pPr>
        <w:spacing w:after="0"/>
        <w:rPr>
          <w:rFonts w:ascii="Times New Roman" w:hAnsi="Times New Roman" w:cs="Times New Roman"/>
        </w:rPr>
      </w:pPr>
    </w:p>
    <w:p w:rsidR="00D94905" w:rsidRPr="004F37AD" w:rsidRDefault="00E34E3E" w:rsidP="004F37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="00DC4DCF">
        <w:rPr>
          <w:rFonts w:ascii="Times New Roman" w:hAnsi="Times New Roman" w:cs="Times New Roman"/>
        </w:rPr>
        <w:t xml:space="preserve"> projet en référence ci-dessous est équipé d’une installation de production d’énergie locale couvrant l’entièreté des besoins en énergie </w:t>
      </w:r>
      <w:r w:rsidR="00FD34D8">
        <w:rPr>
          <w:rFonts w:ascii="Times New Roman" w:hAnsi="Times New Roman" w:cs="Times New Roman"/>
        </w:rPr>
        <w:t>comprenant le chauffage, la production d’eau chaude sanitaire, la ventilation, l’énergie auxiliaire et</w:t>
      </w:r>
      <w:r w:rsidR="00DC4DCF">
        <w:rPr>
          <w:rFonts w:ascii="Times New Roman" w:hAnsi="Times New Roman" w:cs="Times New Roman"/>
        </w:rPr>
        <w:t xml:space="preserve"> </w:t>
      </w:r>
      <w:r w:rsidR="00FD34D8">
        <w:rPr>
          <w:rFonts w:ascii="Times New Roman" w:hAnsi="Times New Roman" w:cs="Times New Roman"/>
        </w:rPr>
        <w:t xml:space="preserve">la consommation prévisionnelle en électricité du ménage : </w:t>
      </w:r>
      <w:r w:rsidR="00DC4DCF">
        <w:rPr>
          <w:rFonts w:ascii="Times New Roman" w:hAnsi="Times New Roman" w:cs="Times New Roman"/>
        </w:rPr>
        <w:t xml:space="preserve"> </w:t>
      </w:r>
    </w:p>
    <w:p w:rsidR="00BD1C96" w:rsidRDefault="00BD1C96" w:rsidP="00425EDE">
      <w:pPr>
        <w:spacing w:after="0"/>
        <w:rPr>
          <w:rFonts w:ascii="Times New Roman" w:hAnsi="Times New Roman" w:cs="Times New Roman"/>
        </w:rPr>
      </w:pPr>
    </w:p>
    <w:p w:rsidR="004F37AD" w:rsidRPr="00E34E3E" w:rsidRDefault="00E34E3E" w:rsidP="00E34E3E">
      <w:pPr>
        <w:spacing w:after="0"/>
        <w:jc w:val="center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>n° cadastral</w:t>
      </w:r>
    </w:p>
    <w:p w:rsidR="00E34E3E" w:rsidRPr="00E34E3E" w:rsidRDefault="00E34E3E" w:rsidP="00E34E3E">
      <w:pPr>
        <w:spacing w:after="0"/>
        <w:jc w:val="center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>ou</w:t>
      </w:r>
      <w:r w:rsidR="00DC4DCF">
        <w:rPr>
          <w:rFonts w:ascii="Times New Roman" w:hAnsi="Times New Roman" w:cs="Times New Roman"/>
          <w:highlight w:val="yellow"/>
        </w:rPr>
        <w:t xml:space="preserve"> n° dossier LENOZ</w:t>
      </w:r>
    </w:p>
    <w:p w:rsidR="00E34E3E" w:rsidRDefault="00E34E3E" w:rsidP="00E34E3E">
      <w:pPr>
        <w:spacing w:after="0"/>
        <w:jc w:val="center"/>
        <w:rPr>
          <w:rFonts w:ascii="Times New Roman" w:hAnsi="Times New Roman" w:cs="Times New Roman"/>
        </w:rPr>
      </w:pPr>
      <w:r w:rsidRPr="00EC34B9">
        <w:rPr>
          <w:rFonts w:ascii="Times New Roman" w:hAnsi="Times New Roman" w:cs="Times New Roman"/>
          <w:highlight w:val="yellow"/>
        </w:rPr>
        <w:t>ou</w:t>
      </w:r>
      <w:r w:rsidR="00DC4DCF" w:rsidRPr="00EC34B9">
        <w:rPr>
          <w:rFonts w:ascii="Times New Roman" w:hAnsi="Times New Roman" w:cs="Times New Roman"/>
          <w:highlight w:val="yellow"/>
        </w:rPr>
        <w:t xml:space="preserve"> adresse</w:t>
      </w:r>
      <w:bookmarkStart w:id="0" w:name="_GoBack"/>
      <w:bookmarkEnd w:id="0"/>
    </w:p>
    <w:p w:rsidR="004F37AD" w:rsidRDefault="004F37AD" w:rsidP="00425EDE">
      <w:pPr>
        <w:spacing w:after="0"/>
        <w:rPr>
          <w:rFonts w:ascii="Times New Roman" w:hAnsi="Times New Roman" w:cs="Times New Roman"/>
        </w:rPr>
      </w:pPr>
    </w:p>
    <w:p w:rsidR="00FD34D8" w:rsidRDefault="00040FC9" w:rsidP="005F204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u w:val="single"/>
          <w:lang w:eastAsia="fr-FR"/>
        </w:rPr>
        <w:t>V</w:t>
      </w:r>
      <w:r w:rsidR="00FD34D8" w:rsidRPr="00040FC9">
        <w:rPr>
          <w:rFonts w:ascii="Times New Roman" w:eastAsia="Times New Roman" w:hAnsi="Times New Roman" w:cs="Times New Roman"/>
          <w:u w:val="single"/>
          <w:lang w:eastAsia="fr-FR"/>
        </w:rPr>
        <w:t>érification</w:t>
      </w:r>
      <w:r w:rsidR="00FD34D8">
        <w:rPr>
          <w:rFonts w:ascii="Times New Roman" w:eastAsia="Times New Roman" w:hAnsi="Times New Roman" w:cs="Times New Roman"/>
          <w:lang w:eastAsia="fr-FR"/>
        </w:rPr>
        <w:t xml:space="preserve"> : </w:t>
      </w:r>
    </w:p>
    <w:p w:rsidR="00D804BC" w:rsidRDefault="00D804BC" w:rsidP="005F204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FD34D8" w:rsidRDefault="00D804BC" w:rsidP="008B3A4E">
      <w:pPr>
        <w:pStyle w:val="ListParagraph"/>
        <w:numPr>
          <w:ilvl w:val="0"/>
          <w:numId w:val="7"/>
        </w:numPr>
        <w:spacing w:after="120" w:line="240" w:lineRule="auto"/>
        <w:ind w:left="426" w:hanging="357"/>
        <w:rPr>
          <w:rFonts w:ascii="Times New Roman" w:eastAsia="Times New Roman" w:hAnsi="Times New Roman" w:cs="Times New Roman"/>
          <w:lang w:eastAsia="fr-FR"/>
        </w:rPr>
      </w:pPr>
      <w:r w:rsidRPr="00040FC9">
        <w:rPr>
          <w:rFonts w:ascii="Times New Roman" w:eastAsia="Times New Roman" w:hAnsi="Times New Roman" w:cs="Times New Roman"/>
          <w:lang w:eastAsia="fr-FR"/>
        </w:rPr>
        <w:t xml:space="preserve">La consommation prévisionnelle en électricité du ménage converti en énergie primaire est de 9 300 kWh/a conformément au règlement grand-ducal du 23 décembre 2016 : </w:t>
      </w:r>
    </w:p>
    <w:p w:rsidR="001E4331" w:rsidRDefault="001E4331" w:rsidP="008B3A4E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An = </w:t>
      </w:r>
      <w:r w:rsidRPr="00534D5D">
        <w:rPr>
          <w:rFonts w:ascii="Times New Roman" w:eastAsia="Times New Roman" w:hAnsi="Times New Roman" w:cs="Times New Roman"/>
          <w:highlight w:val="yellow"/>
          <w:lang w:eastAsia="fr-FR"/>
        </w:rPr>
        <w:t>139</w:t>
      </w:r>
      <w:r>
        <w:rPr>
          <w:rFonts w:ascii="Times New Roman" w:eastAsia="Times New Roman" w:hAnsi="Times New Roman" w:cs="Times New Roman"/>
          <w:lang w:eastAsia="fr-FR"/>
        </w:rPr>
        <w:t xml:space="preserve"> m²</w:t>
      </w:r>
    </w:p>
    <w:p w:rsidR="00D804BC" w:rsidRDefault="001E4331" w:rsidP="008B3A4E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Q</w:t>
      </w:r>
      <w:r w:rsidRPr="00706705">
        <w:rPr>
          <w:rFonts w:ascii="Times New Roman" w:eastAsia="Times New Roman" w:hAnsi="Times New Roman" w:cs="Times New Roman"/>
          <w:vertAlign w:val="subscript"/>
          <w:lang w:eastAsia="fr-FR"/>
        </w:rPr>
        <w:t>p ménage</w:t>
      </w:r>
      <w:r>
        <w:rPr>
          <w:rFonts w:ascii="Times New Roman" w:eastAsia="Times New Roman" w:hAnsi="Times New Roman" w:cs="Times New Roman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m:t>9300 kWh/a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m:t>139 m²</m:t>
            </m:r>
          </m:den>
        </m:f>
      </m:oMath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34D5D">
        <w:rPr>
          <w:rFonts w:ascii="Times New Roman" w:eastAsia="Times New Roman" w:hAnsi="Times New Roman" w:cs="Times New Roman"/>
          <w:highlight w:val="yellow"/>
          <w:lang w:eastAsia="fr-FR"/>
        </w:rPr>
        <w:t xml:space="preserve">= </w:t>
      </w:r>
      <w:r w:rsidR="004245FA" w:rsidRPr="00534D5D">
        <w:rPr>
          <w:rFonts w:ascii="Times New Roman" w:eastAsia="Times New Roman" w:hAnsi="Times New Roman" w:cs="Times New Roman"/>
          <w:highlight w:val="yellow"/>
          <w:lang w:eastAsia="fr-FR"/>
        </w:rPr>
        <w:t>66,91</w:t>
      </w:r>
      <w:r w:rsidR="004245FA">
        <w:rPr>
          <w:rFonts w:ascii="Times New Roman" w:eastAsia="Times New Roman" w:hAnsi="Times New Roman" w:cs="Times New Roman"/>
          <w:lang w:eastAsia="fr-FR"/>
        </w:rPr>
        <w:t xml:space="preserve"> kWh/m²a</w:t>
      </w:r>
    </w:p>
    <w:p w:rsidR="00040FC9" w:rsidRDefault="00040FC9" w:rsidP="008B3A4E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fr-FR"/>
        </w:rPr>
      </w:pPr>
    </w:p>
    <w:p w:rsidR="00040FC9" w:rsidRDefault="008B3A4E" w:rsidP="008B3A4E">
      <w:pPr>
        <w:pStyle w:val="ListParagraph"/>
        <w:numPr>
          <w:ilvl w:val="0"/>
          <w:numId w:val="7"/>
        </w:numPr>
        <w:spacing w:after="0" w:line="360" w:lineRule="auto"/>
        <w:ind w:left="426" w:hanging="357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I</w:t>
      </w:r>
      <w:r w:rsidR="00040FC9">
        <w:rPr>
          <w:rFonts w:ascii="Times New Roman" w:eastAsia="Times New Roman" w:hAnsi="Times New Roman" w:cs="Times New Roman"/>
          <w:lang w:eastAsia="fr-FR"/>
        </w:rPr>
        <w:t>nstallation photovoltaïque</w:t>
      </w:r>
      <w:r w:rsidR="00706705">
        <w:rPr>
          <w:rFonts w:ascii="Times New Roman" w:eastAsia="Times New Roman" w:hAnsi="Times New Roman" w:cs="Times New Roman"/>
          <w:lang w:eastAsia="fr-FR"/>
        </w:rPr>
        <w:t xml:space="preserve"> </w:t>
      </w:r>
      <w:r w:rsidR="00040FC9">
        <w:rPr>
          <w:rFonts w:ascii="Times New Roman" w:eastAsia="Times New Roman" w:hAnsi="Times New Roman" w:cs="Times New Roman"/>
          <w:lang w:eastAsia="fr-FR"/>
        </w:rPr>
        <w:t xml:space="preserve">: </w:t>
      </w:r>
    </w:p>
    <w:tbl>
      <w:tblPr>
        <w:tblStyle w:val="TableGrid"/>
        <w:tblW w:w="0" w:type="auto"/>
        <w:tblInd w:w="21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70"/>
        <w:gridCol w:w="1748"/>
      </w:tblGrid>
      <w:tr w:rsidR="00706705" w:rsidTr="00706705">
        <w:tc>
          <w:tcPr>
            <w:tcW w:w="1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706705" w:rsidRDefault="00706705" w:rsidP="003B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:rsidR="00706705" w:rsidRDefault="00706705" w:rsidP="0070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caractéristiques</w:t>
            </w:r>
          </w:p>
        </w:tc>
      </w:tr>
      <w:tr w:rsidR="00706705" w:rsidTr="00706705">
        <w:tc>
          <w:tcPr>
            <w:tcW w:w="1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06705" w:rsidRPr="00C46564" w:rsidRDefault="00706705" w:rsidP="003B4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Type</w:t>
            </w:r>
          </w:p>
        </w:tc>
        <w:tc>
          <w:tcPr>
            <w:tcW w:w="174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705" w:rsidRPr="00534D5D" w:rsidRDefault="00706705" w:rsidP="00706705">
            <w:pPr>
              <w:tabs>
                <w:tab w:val="right" w:pos="4111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4D5D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polychristallin</w:t>
            </w:r>
          </w:p>
        </w:tc>
      </w:tr>
      <w:tr w:rsidR="00706705" w:rsidTr="00706705">
        <w:tc>
          <w:tcPr>
            <w:tcW w:w="137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06705" w:rsidRPr="008508E3" w:rsidRDefault="00706705" w:rsidP="003B4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Surface</w:t>
            </w:r>
          </w:p>
        </w:tc>
        <w:tc>
          <w:tcPr>
            <w:tcW w:w="17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705" w:rsidRPr="00534D5D" w:rsidRDefault="00706705" w:rsidP="0070670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534D5D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50 m²</w:t>
            </w:r>
          </w:p>
        </w:tc>
      </w:tr>
      <w:tr w:rsidR="00706705" w:rsidTr="00706705">
        <w:tc>
          <w:tcPr>
            <w:tcW w:w="137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06705" w:rsidRDefault="00706705" w:rsidP="003B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Puissance </w:t>
            </w:r>
          </w:p>
        </w:tc>
        <w:tc>
          <w:tcPr>
            <w:tcW w:w="17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705" w:rsidRPr="00534D5D" w:rsidRDefault="00706705" w:rsidP="00706705">
            <w:pPr>
              <w:tabs>
                <w:tab w:val="right" w:pos="4111"/>
              </w:tabs>
              <w:ind w:right="175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534D5D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6 kWp</w:t>
            </w:r>
          </w:p>
        </w:tc>
      </w:tr>
      <w:tr w:rsidR="00706705" w:rsidTr="00706705">
        <w:tc>
          <w:tcPr>
            <w:tcW w:w="137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06705" w:rsidRDefault="00706705" w:rsidP="003B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Orientation*</w:t>
            </w:r>
          </w:p>
        </w:tc>
        <w:tc>
          <w:tcPr>
            <w:tcW w:w="17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705" w:rsidRPr="00534D5D" w:rsidRDefault="00706705" w:rsidP="0070670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534D5D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sud</w:t>
            </w:r>
          </w:p>
        </w:tc>
      </w:tr>
      <w:tr w:rsidR="00706705" w:rsidTr="00706705">
        <w:tc>
          <w:tcPr>
            <w:tcW w:w="137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706705" w:rsidRDefault="00706705" w:rsidP="003B46B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Inclinaison* </w:t>
            </w:r>
          </w:p>
        </w:tc>
        <w:tc>
          <w:tcPr>
            <w:tcW w:w="17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:rsidR="00706705" w:rsidRPr="00534D5D" w:rsidRDefault="00706705" w:rsidP="00706705">
            <w:pPr>
              <w:tabs>
                <w:tab w:val="right" w:pos="4111"/>
              </w:tabs>
              <w:ind w:right="175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534D5D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30°</w:t>
            </w:r>
          </w:p>
        </w:tc>
      </w:tr>
    </w:tbl>
    <w:p w:rsidR="00706705" w:rsidRDefault="00706705" w:rsidP="008B3A4E">
      <w:pPr>
        <w:pStyle w:val="ListParagraph"/>
        <w:spacing w:after="0" w:line="240" w:lineRule="auto"/>
        <w:ind w:left="425"/>
        <w:rPr>
          <w:rFonts w:ascii="Times New Roman" w:eastAsia="Times New Roman" w:hAnsi="Times New Roman" w:cs="Times New Roman"/>
          <w:lang w:eastAsia="fr-FR"/>
        </w:rPr>
      </w:pPr>
    </w:p>
    <w:p w:rsidR="00040FC9" w:rsidRDefault="00040FC9" w:rsidP="00921459">
      <w:pPr>
        <w:pStyle w:val="ListParagraph"/>
        <w:spacing w:after="0" w:line="240" w:lineRule="auto"/>
        <w:ind w:left="1134" w:hanging="708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Q</w:t>
      </w:r>
      <w:r w:rsidRPr="00706705">
        <w:rPr>
          <w:rFonts w:ascii="Times New Roman" w:eastAsia="Times New Roman" w:hAnsi="Times New Roman" w:cs="Times New Roman"/>
          <w:vertAlign w:val="subscript"/>
          <w:lang w:eastAsia="fr-FR"/>
        </w:rPr>
        <w:t>p PV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921459"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 xml:space="preserve">= </w:t>
      </w:r>
      <w:r w:rsidR="00706705" w:rsidRPr="00534D5D">
        <w:rPr>
          <w:rFonts w:ascii="Times New Roman" w:eastAsia="Times New Roman" w:hAnsi="Times New Roman" w:cs="Times New Roman"/>
          <w:highlight w:val="yellow"/>
          <w:lang w:eastAsia="fr-FR"/>
        </w:rPr>
        <w:t>900</w:t>
      </w:r>
      <w:r w:rsidR="00706705">
        <w:rPr>
          <w:rFonts w:ascii="Times New Roman" w:eastAsia="Times New Roman" w:hAnsi="Times New Roman" w:cs="Times New Roman"/>
          <w:lang w:eastAsia="fr-FR"/>
        </w:rPr>
        <w:t xml:space="preserve"> (kWh</w:t>
      </w:r>
      <w:r w:rsidR="00706705" w:rsidRPr="00706705">
        <w:rPr>
          <w:rFonts w:ascii="Times New Roman" w:eastAsia="Times New Roman" w:hAnsi="Times New Roman" w:cs="Times New Roman"/>
          <w:vertAlign w:val="subscript"/>
          <w:lang w:eastAsia="fr-FR"/>
        </w:rPr>
        <w:t>él</w:t>
      </w:r>
      <w:r w:rsidR="00706705">
        <w:rPr>
          <w:rFonts w:ascii="Times New Roman" w:eastAsia="Times New Roman" w:hAnsi="Times New Roman" w:cs="Times New Roman"/>
          <w:lang w:eastAsia="fr-FR"/>
        </w:rPr>
        <w:t xml:space="preserve">/kWp)* x </w:t>
      </w:r>
      <w:r w:rsidR="00706705" w:rsidRPr="00534D5D">
        <w:rPr>
          <w:rFonts w:ascii="Times New Roman" w:eastAsia="Times New Roman" w:hAnsi="Times New Roman" w:cs="Times New Roman"/>
          <w:highlight w:val="yellow"/>
          <w:lang w:eastAsia="fr-FR"/>
        </w:rPr>
        <w:t>6</w:t>
      </w:r>
      <w:r w:rsidR="00706705">
        <w:rPr>
          <w:rFonts w:ascii="Times New Roman" w:eastAsia="Times New Roman" w:hAnsi="Times New Roman" w:cs="Times New Roman"/>
          <w:lang w:eastAsia="fr-FR"/>
        </w:rPr>
        <w:t xml:space="preserve"> (kWp) x 2,66 (kWh</w:t>
      </w:r>
      <w:r w:rsidR="00706705" w:rsidRPr="00706705">
        <w:rPr>
          <w:rFonts w:ascii="Times New Roman" w:eastAsia="Times New Roman" w:hAnsi="Times New Roman" w:cs="Times New Roman"/>
          <w:vertAlign w:val="subscript"/>
          <w:lang w:eastAsia="fr-FR"/>
        </w:rPr>
        <w:t>én. Prim</w:t>
      </w:r>
      <w:r w:rsidR="00706705">
        <w:rPr>
          <w:rFonts w:ascii="Times New Roman" w:eastAsia="Times New Roman" w:hAnsi="Times New Roman" w:cs="Times New Roman"/>
          <w:lang w:eastAsia="fr-FR"/>
        </w:rPr>
        <w:t xml:space="preserve"> /kWh</w:t>
      </w:r>
      <w:r w:rsidR="00706705" w:rsidRPr="00706705">
        <w:rPr>
          <w:rFonts w:ascii="Times New Roman" w:eastAsia="Times New Roman" w:hAnsi="Times New Roman" w:cs="Times New Roman"/>
          <w:vertAlign w:val="subscript"/>
          <w:lang w:eastAsia="fr-FR"/>
        </w:rPr>
        <w:t>én. finale</w:t>
      </w:r>
      <w:r w:rsidR="00706705">
        <w:rPr>
          <w:rFonts w:ascii="Times New Roman" w:eastAsia="Times New Roman" w:hAnsi="Times New Roman" w:cs="Times New Roman"/>
          <w:lang w:eastAsia="fr-FR"/>
        </w:rPr>
        <w:t xml:space="preserve">) / </w:t>
      </w:r>
      <w:r w:rsidR="00706705" w:rsidRPr="00534D5D">
        <w:rPr>
          <w:rFonts w:ascii="Times New Roman" w:eastAsia="Times New Roman" w:hAnsi="Times New Roman" w:cs="Times New Roman"/>
          <w:highlight w:val="yellow"/>
          <w:lang w:eastAsia="fr-FR"/>
        </w:rPr>
        <w:t>139</w:t>
      </w:r>
      <w:r w:rsidR="00706705">
        <w:rPr>
          <w:rFonts w:ascii="Times New Roman" w:eastAsia="Times New Roman" w:hAnsi="Times New Roman" w:cs="Times New Roman"/>
          <w:lang w:eastAsia="fr-FR"/>
        </w:rPr>
        <w:t xml:space="preserve"> (m²) </w:t>
      </w:r>
      <w:r w:rsidR="00706705">
        <w:rPr>
          <w:rFonts w:ascii="Times New Roman" w:eastAsia="Times New Roman" w:hAnsi="Times New Roman" w:cs="Times New Roman"/>
          <w:lang w:eastAsia="fr-FR"/>
        </w:rPr>
        <w:br/>
        <w:t xml:space="preserve">= </w:t>
      </w:r>
      <w:r w:rsidR="00706705" w:rsidRPr="00534D5D">
        <w:rPr>
          <w:rFonts w:ascii="Times New Roman" w:eastAsia="Times New Roman" w:hAnsi="Times New Roman" w:cs="Times New Roman"/>
          <w:highlight w:val="yellow"/>
          <w:lang w:eastAsia="fr-FR"/>
        </w:rPr>
        <w:t>103,34</w:t>
      </w:r>
      <w:r w:rsidR="00706705">
        <w:rPr>
          <w:rFonts w:ascii="Times New Roman" w:eastAsia="Times New Roman" w:hAnsi="Times New Roman" w:cs="Times New Roman"/>
          <w:lang w:eastAsia="fr-FR"/>
        </w:rPr>
        <w:t xml:space="preserve"> kWh/m².a</w:t>
      </w:r>
    </w:p>
    <w:p w:rsidR="00706705" w:rsidRPr="00040FC9" w:rsidRDefault="00706705" w:rsidP="008B3A4E">
      <w:pPr>
        <w:pStyle w:val="ListParagraph"/>
        <w:spacing w:after="0" w:line="240" w:lineRule="auto"/>
        <w:ind w:left="425"/>
        <w:rPr>
          <w:rFonts w:ascii="Times New Roman" w:eastAsia="Times New Roman" w:hAnsi="Times New Roman" w:cs="Times New Roman"/>
          <w:lang w:eastAsia="fr-FR"/>
        </w:rPr>
      </w:pPr>
    </w:p>
    <w:p w:rsidR="00D804BC" w:rsidRPr="008C613A" w:rsidRDefault="00706705" w:rsidP="008B3A4E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C613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(*) </w:t>
      </w:r>
      <w:r w:rsidR="00921459" w:rsidRPr="008C613A">
        <w:rPr>
          <w:rFonts w:ascii="Times New Roman" w:eastAsia="Times New Roman" w:hAnsi="Times New Roman" w:cs="Times New Roman"/>
          <w:sz w:val="20"/>
          <w:szCs w:val="20"/>
          <w:lang w:eastAsia="fr-FR"/>
        </w:rPr>
        <w:t>Rendement</w:t>
      </w:r>
      <w:r w:rsidRPr="008C613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l’installation déterminé par le tableau </w:t>
      </w:r>
      <w:r w:rsidR="008C613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(17) </w:t>
      </w:r>
      <w:r w:rsidR="008C613A" w:rsidRPr="008C613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du critère </w:t>
      </w:r>
      <w:r w:rsidRPr="008C613A">
        <w:rPr>
          <w:rFonts w:ascii="Times New Roman" w:eastAsia="Times New Roman" w:hAnsi="Times New Roman" w:cs="Times New Roman"/>
          <w:sz w:val="20"/>
          <w:szCs w:val="20"/>
          <w:lang w:eastAsia="fr-FR"/>
        </w:rPr>
        <w:t>4.6 du RGD du 23 décembre 2016</w:t>
      </w:r>
    </w:p>
    <w:p w:rsidR="00706705" w:rsidRDefault="00706705" w:rsidP="008B3A4E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fr-FR"/>
        </w:rPr>
      </w:pPr>
    </w:p>
    <w:p w:rsidR="005F2042" w:rsidRPr="00040FC9" w:rsidRDefault="00040FC9" w:rsidP="008B3A4E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fr-FR"/>
        </w:rPr>
      </w:pPr>
      <w:r w:rsidRPr="00040FC9">
        <w:rPr>
          <w:rFonts w:ascii="Times New Roman" w:eastAsia="Times New Roman" w:hAnsi="Times New Roman" w:cs="Times New Roman"/>
          <w:b/>
          <w:lang w:eastAsia="fr-FR"/>
        </w:rPr>
        <w:t>Bilan</w:t>
      </w:r>
      <w:r>
        <w:rPr>
          <w:rFonts w:ascii="Times New Roman" w:eastAsia="Times New Roman" w:hAnsi="Times New Roman" w:cs="Times New Roman"/>
          <w:lang w:eastAsia="fr-FR"/>
        </w:rPr>
        <w:t> : (les b</w:t>
      </w:r>
      <w:r w:rsidR="00FD34D8" w:rsidRPr="00040FC9">
        <w:rPr>
          <w:rFonts w:ascii="Times New Roman" w:eastAsia="Times New Roman" w:hAnsi="Times New Roman" w:cs="Times New Roman"/>
          <w:lang w:eastAsia="fr-FR"/>
        </w:rPr>
        <w:t>esoin</w:t>
      </w:r>
      <w:r>
        <w:rPr>
          <w:rFonts w:ascii="Times New Roman" w:eastAsia="Times New Roman" w:hAnsi="Times New Roman" w:cs="Times New Roman"/>
          <w:lang w:eastAsia="fr-FR"/>
        </w:rPr>
        <w:t>s</w:t>
      </w:r>
      <w:r w:rsidR="00FD34D8" w:rsidRPr="00040FC9">
        <w:rPr>
          <w:rFonts w:ascii="Times New Roman" w:eastAsia="Times New Roman" w:hAnsi="Times New Roman" w:cs="Times New Roman"/>
          <w:lang w:eastAsia="fr-FR"/>
        </w:rPr>
        <w:t xml:space="preserve"> en énergie primaire </w:t>
      </w:r>
      <w:r>
        <w:rPr>
          <w:rFonts w:ascii="Times New Roman" w:eastAsia="Times New Roman" w:hAnsi="Times New Roman" w:cs="Times New Roman"/>
          <w:lang w:eastAsia="fr-FR"/>
        </w:rPr>
        <w:t>proviennent du</w:t>
      </w:r>
      <w:r w:rsidR="00FD34D8" w:rsidRPr="00040FC9">
        <w:rPr>
          <w:rFonts w:ascii="Times New Roman" w:eastAsia="Times New Roman" w:hAnsi="Times New Roman" w:cs="Times New Roman"/>
          <w:lang w:eastAsia="fr-FR"/>
        </w:rPr>
        <w:t xml:space="preserve"> passeport énergétique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="00FD34D8" w:rsidRPr="00040FC9">
        <w:rPr>
          <w:rFonts w:ascii="Times New Roman" w:eastAsia="Times New Roman" w:hAnsi="Times New Roman" w:cs="Times New Roman"/>
          <w:lang w:eastAsia="fr-FR"/>
        </w:rPr>
        <w:t xml:space="preserve"> : </w:t>
      </w:r>
    </w:p>
    <w:p w:rsidR="00FD34D8" w:rsidRDefault="00FD34D8" w:rsidP="005F204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TableGrid"/>
        <w:tblW w:w="0" w:type="auto"/>
        <w:tblInd w:w="8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6"/>
        <w:gridCol w:w="2032"/>
        <w:gridCol w:w="2126"/>
      </w:tblGrid>
      <w:tr w:rsidR="004245FA" w:rsidTr="00706705">
        <w:tc>
          <w:tcPr>
            <w:tcW w:w="2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4245FA" w:rsidRDefault="004245FA" w:rsidP="0042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:rsidR="004245FA" w:rsidRDefault="004245FA" w:rsidP="0042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C">
              <w:rPr>
                <w:rFonts w:ascii="Times New Roman" w:eastAsia="Times New Roman" w:hAnsi="Times New Roman" w:cs="Times New Roman"/>
                <w:lang w:eastAsia="fr-FR"/>
              </w:rPr>
              <w:t>Besoin en énergie primaire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45FA" w:rsidRPr="00D804BC" w:rsidRDefault="004245FA" w:rsidP="004245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Production en énergie primaire</w:t>
            </w:r>
          </w:p>
        </w:tc>
      </w:tr>
      <w:tr w:rsidR="004245FA" w:rsidTr="00706705">
        <w:tc>
          <w:tcPr>
            <w:tcW w:w="2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45FA" w:rsidRPr="00C46564" w:rsidRDefault="004245FA" w:rsidP="00425E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04BC">
              <w:rPr>
                <w:rFonts w:ascii="Times New Roman" w:eastAsia="Times New Roman" w:hAnsi="Times New Roman" w:cs="Times New Roman"/>
                <w:lang w:eastAsia="fr-FR"/>
              </w:rPr>
              <w:t>Chauffage </w:t>
            </w:r>
          </w:p>
        </w:tc>
        <w:tc>
          <w:tcPr>
            <w:tcW w:w="203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45FA" w:rsidRPr="00534D5D" w:rsidRDefault="004245FA" w:rsidP="004245FA">
            <w:pPr>
              <w:tabs>
                <w:tab w:val="right" w:pos="4111"/>
              </w:tabs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4D5D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16,82 kWh/m².a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4245FA" w:rsidRDefault="004245FA" w:rsidP="004245FA">
            <w:pPr>
              <w:tabs>
                <w:tab w:val="right" w:pos="4111"/>
              </w:tabs>
              <w:ind w:right="175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45FA" w:rsidTr="00040FC9">
        <w:tc>
          <w:tcPr>
            <w:tcW w:w="2646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45FA" w:rsidRPr="008508E3" w:rsidRDefault="004245FA" w:rsidP="00425E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04BC">
              <w:rPr>
                <w:rFonts w:ascii="Times New Roman" w:eastAsia="Times New Roman" w:hAnsi="Times New Roman" w:cs="Times New Roman"/>
                <w:lang w:eastAsia="fr-FR"/>
              </w:rPr>
              <w:t>Eau chaude sanitaire </w:t>
            </w:r>
          </w:p>
        </w:tc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45FA" w:rsidRPr="00534D5D" w:rsidRDefault="004245FA" w:rsidP="004245FA">
            <w:pPr>
              <w:tabs>
                <w:tab w:val="right" w:pos="4111"/>
              </w:tabs>
              <w:ind w:right="175"/>
              <w:jc w:val="right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534D5D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8,61 kWh/m².a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4245FA" w:rsidRPr="00D804BC" w:rsidRDefault="004245FA" w:rsidP="004245FA">
            <w:pPr>
              <w:tabs>
                <w:tab w:val="right" w:pos="4111"/>
              </w:tabs>
              <w:ind w:right="175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45FA" w:rsidTr="00040FC9">
        <w:tc>
          <w:tcPr>
            <w:tcW w:w="2646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45FA" w:rsidRDefault="004245FA" w:rsidP="0042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BC">
              <w:rPr>
                <w:rFonts w:ascii="Times New Roman" w:eastAsia="Times New Roman" w:hAnsi="Times New Roman" w:cs="Times New Roman"/>
                <w:lang w:eastAsia="fr-FR"/>
              </w:rPr>
              <w:t>Auxiliaires</w:t>
            </w:r>
          </w:p>
        </w:tc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45FA" w:rsidRPr="00534D5D" w:rsidRDefault="004245FA" w:rsidP="004245FA">
            <w:pPr>
              <w:tabs>
                <w:tab w:val="right" w:pos="4111"/>
              </w:tabs>
              <w:ind w:right="175"/>
              <w:jc w:val="right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534D5D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10,38 kWh/m².a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4245FA" w:rsidRPr="00D804BC" w:rsidRDefault="004245FA" w:rsidP="004245FA">
            <w:pPr>
              <w:tabs>
                <w:tab w:val="right" w:pos="4111"/>
              </w:tabs>
              <w:ind w:right="175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245FA" w:rsidTr="00040FC9">
        <w:tc>
          <w:tcPr>
            <w:tcW w:w="2646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45FA" w:rsidRDefault="004245FA" w:rsidP="0042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Panneaux photovoltaïques </w:t>
            </w:r>
          </w:p>
        </w:tc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45FA" w:rsidRPr="00534D5D" w:rsidRDefault="004245FA" w:rsidP="004245FA">
            <w:pPr>
              <w:tabs>
                <w:tab w:val="right" w:pos="4111"/>
              </w:tabs>
              <w:ind w:right="175"/>
              <w:jc w:val="right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4245FA" w:rsidRPr="00534D5D" w:rsidRDefault="00921459" w:rsidP="004245FA">
            <w:pPr>
              <w:tabs>
                <w:tab w:val="right" w:pos="4111"/>
              </w:tabs>
              <w:ind w:right="175"/>
              <w:jc w:val="right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534D5D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 xml:space="preserve">103,34 </w:t>
            </w:r>
            <w:r w:rsidR="004245FA" w:rsidRPr="00534D5D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kWh/m².a</w:t>
            </w:r>
          </w:p>
        </w:tc>
      </w:tr>
      <w:tr w:rsidR="004245FA" w:rsidTr="00040FC9">
        <w:tc>
          <w:tcPr>
            <w:tcW w:w="2646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4245FA" w:rsidRDefault="004245FA" w:rsidP="00425ED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Consommation ménage</w:t>
            </w:r>
          </w:p>
        </w:tc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:rsidR="004245FA" w:rsidRPr="00534D5D" w:rsidRDefault="004245FA" w:rsidP="004245FA">
            <w:pPr>
              <w:tabs>
                <w:tab w:val="right" w:pos="4111"/>
              </w:tabs>
              <w:ind w:right="175"/>
              <w:jc w:val="right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534D5D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66,91 kWh/m².a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45FA" w:rsidRPr="00534D5D" w:rsidRDefault="004245FA" w:rsidP="004245FA">
            <w:pPr>
              <w:tabs>
                <w:tab w:val="right" w:pos="4111"/>
              </w:tabs>
              <w:ind w:right="175"/>
              <w:jc w:val="right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</w:tr>
      <w:tr w:rsidR="004245FA" w:rsidRPr="004245FA" w:rsidTr="00040FC9">
        <w:tc>
          <w:tcPr>
            <w:tcW w:w="2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4245FA" w:rsidRPr="004245FA" w:rsidRDefault="004245FA" w:rsidP="004245FA">
            <w:pPr>
              <w:jc w:val="right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245FA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TOTAL : </w:t>
            </w:r>
          </w:p>
        </w:tc>
        <w:tc>
          <w:tcPr>
            <w:tcW w:w="20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245FA" w:rsidRPr="00534D5D" w:rsidRDefault="00040FC9" w:rsidP="004245FA">
            <w:pPr>
              <w:tabs>
                <w:tab w:val="right" w:pos="4111"/>
              </w:tabs>
              <w:ind w:right="175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</w:pPr>
            <w:r w:rsidRPr="00534D5D"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  <w:t>102,72 kWh/m².a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45FA" w:rsidRPr="00534D5D" w:rsidRDefault="00921459" w:rsidP="004245FA">
            <w:pPr>
              <w:tabs>
                <w:tab w:val="right" w:pos="4111"/>
              </w:tabs>
              <w:ind w:right="175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</w:pPr>
            <w:r w:rsidRPr="00534D5D"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  <w:t>103,34</w:t>
            </w:r>
            <w:r w:rsidRPr="00534D5D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 xml:space="preserve"> </w:t>
            </w:r>
            <w:r w:rsidR="00040FC9" w:rsidRPr="00534D5D"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  <w:t>kWh/m².a</w:t>
            </w:r>
          </w:p>
        </w:tc>
      </w:tr>
    </w:tbl>
    <w:p w:rsidR="006D1423" w:rsidRDefault="006D1423" w:rsidP="0042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423" w:rsidRDefault="00921459" w:rsidP="00425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459"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> : le besoin est comblé par la production.</w:t>
      </w:r>
    </w:p>
    <w:p w:rsidR="00E34E3E" w:rsidRDefault="00E34E3E" w:rsidP="0042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13A" w:rsidRPr="00C22979" w:rsidRDefault="008C613A" w:rsidP="0042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C96" w:rsidRPr="00E34E3E" w:rsidRDefault="00BD1C96" w:rsidP="00BD1C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 xml:space="preserve">Date, </w:t>
      </w:r>
      <w:r w:rsidR="00E34E3E" w:rsidRPr="00E34E3E">
        <w:rPr>
          <w:rFonts w:ascii="Times New Roman" w:hAnsi="Times New Roman" w:cs="Times New Roman"/>
          <w:highlight w:val="yellow"/>
        </w:rPr>
        <w:t xml:space="preserve">Nom, prénom, </w:t>
      </w:r>
      <w:r w:rsidRPr="00E34E3E">
        <w:rPr>
          <w:rFonts w:ascii="Times New Roman" w:hAnsi="Times New Roman" w:cs="Times New Roman"/>
          <w:highlight w:val="yellow"/>
        </w:rPr>
        <w:t>signature</w:t>
      </w:r>
    </w:p>
    <w:p w:rsidR="00BD1C96" w:rsidRPr="00E34E3E" w:rsidRDefault="00BD1C96" w:rsidP="00425EDE">
      <w:pPr>
        <w:spacing w:after="0"/>
        <w:rPr>
          <w:rFonts w:ascii="Times New Roman" w:hAnsi="Times New Roman" w:cs="Times New Roman"/>
          <w:highlight w:val="yellow"/>
        </w:rPr>
      </w:pPr>
    </w:p>
    <w:p w:rsidR="00BD1C96" w:rsidRPr="00425EDE" w:rsidRDefault="00BD1C96" w:rsidP="00425EDE">
      <w:pPr>
        <w:spacing w:after="0"/>
        <w:rPr>
          <w:rFonts w:ascii="Times New Roman" w:hAnsi="Times New Roman" w:cs="Times New Roman"/>
        </w:rPr>
      </w:pPr>
      <w:r w:rsidRPr="00E34E3E">
        <w:rPr>
          <w:rFonts w:ascii="Times New Roman" w:hAnsi="Times New Roman" w:cs="Times New Roman"/>
          <w:highlight w:val="yellow"/>
        </w:rPr>
        <w:t>Luxembourg, le 06.06.2017</w:t>
      </w:r>
    </w:p>
    <w:sectPr w:rsidR="00BD1C96" w:rsidRPr="00425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84A"/>
    <w:multiLevelType w:val="hybridMultilevel"/>
    <w:tmpl w:val="FCFCF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6A4F"/>
    <w:multiLevelType w:val="hybridMultilevel"/>
    <w:tmpl w:val="69706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232C"/>
    <w:multiLevelType w:val="hybridMultilevel"/>
    <w:tmpl w:val="F370B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4791"/>
    <w:multiLevelType w:val="hybridMultilevel"/>
    <w:tmpl w:val="59D8161A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E2F66"/>
    <w:multiLevelType w:val="hybridMultilevel"/>
    <w:tmpl w:val="3ECA47F8"/>
    <w:lvl w:ilvl="0" w:tplc="6FF0D9AC">
      <w:start w:val="9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16632"/>
    <w:multiLevelType w:val="hybridMultilevel"/>
    <w:tmpl w:val="47306394"/>
    <w:lvl w:ilvl="0" w:tplc="187CB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C1CFB"/>
    <w:multiLevelType w:val="hybridMultilevel"/>
    <w:tmpl w:val="15C6D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E"/>
    <w:rsid w:val="00040FC9"/>
    <w:rsid w:val="000F4D8B"/>
    <w:rsid w:val="001E4331"/>
    <w:rsid w:val="002C771F"/>
    <w:rsid w:val="00404E96"/>
    <w:rsid w:val="004245FA"/>
    <w:rsid w:val="00425EDE"/>
    <w:rsid w:val="0046064F"/>
    <w:rsid w:val="004F37AD"/>
    <w:rsid w:val="00534D5D"/>
    <w:rsid w:val="005B2C42"/>
    <w:rsid w:val="005F2042"/>
    <w:rsid w:val="0060542F"/>
    <w:rsid w:val="006B48E8"/>
    <w:rsid w:val="006D1423"/>
    <w:rsid w:val="00706705"/>
    <w:rsid w:val="008508E3"/>
    <w:rsid w:val="008B3A4E"/>
    <w:rsid w:val="008C613A"/>
    <w:rsid w:val="00921459"/>
    <w:rsid w:val="009512F5"/>
    <w:rsid w:val="009D2D73"/>
    <w:rsid w:val="00A248B9"/>
    <w:rsid w:val="00BB0F73"/>
    <w:rsid w:val="00BD1C96"/>
    <w:rsid w:val="00C22979"/>
    <w:rsid w:val="00C46564"/>
    <w:rsid w:val="00C87329"/>
    <w:rsid w:val="00D804BC"/>
    <w:rsid w:val="00D94905"/>
    <w:rsid w:val="00DC4DCF"/>
    <w:rsid w:val="00E34E3E"/>
    <w:rsid w:val="00EC34B9"/>
    <w:rsid w:val="00F70451"/>
    <w:rsid w:val="00FB2301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DE"/>
    <w:pPr>
      <w:ind w:left="720"/>
      <w:contextualSpacing/>
    </w:pPr>
  </w:style>
  <w:style w:type="table" w:styleId="TableGrid">
    <w:name w:val="Table Grid"/>
    <w:basedOn w:val="TableNormal"/>
    <w:uiPriority w:val="59"/>
    <w:rsid w:val="002C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4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DE"/>
    <w:pPr>
      <w:ind w:left="720"/>
      <w:contextualSpacing/>
    </w:pPr>
  </w:style>
  <w:style w:type="table" w:styleId="TableGrid">
    <w:name w:val="Table Grid"/>
    <w:basedOn w:val="TableNormal"/>
    <w:uiPriority w:val="59"/>
    <w:rsid w:val="002C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4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CTIE</cp:lastModifiedBy>
  <cp:revision>6</cp:revision>
  <cp:lastPrinted>2017-05-23T06:56:00Z</cp:lastPrinted>
  <dcterms:created xsi:type="dcterms:W3CDTF">2017-05-30T07:13:00Z</dcterms:created>
  <dcterms:modified xsi:type="dcterms:W3CDTF">2017-07-20T07:30:00Z</dcterms:modified>
</cp:coreProperties>
</file>